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242A2A">
      <w:pPr>
        <w:jc w:val="center"/>
      </w:pPr>
      <w:r>
        <w:rPr>
          <w:noProof/>
        </w:rPr>
        <w:drawing>
          <wp:inline distT="0" distB="0" distL="0" distR="0">
            <wp:extent cx="560705" cy="560705"/>
            <wp:effectExtent l="0" t="0" r="0" b="0"/>
            <wp:docPr id="9" name="图片 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6389" cy="566389"/>
                    </a:xfrm>
                    <a:prstGeom prst="rect">
                      <a:avLst/>
                    </a:prstGeom>
                    <a:noFill/>
                    <a:ln>
                      <a:noFill/>
                    </a:ln>
                  </pic:spPr>
                </pic:pic>
              </a:graphicData>
            </a:graphic>
          </wp:inline>
        </w:drawing>
      </w:r>
      <w:r>
        <w:rPr>
          <w:rFonts w:hint="eastAsia"/>
          <w:noProof/>
        </w:rPr>
        <w:drawing>
          <wp:inline distT="0" distB="0" distL="0" distR="0">
            <wp:extent cx="3522980" cy="548005"/>
            <wp:effectExtent l="0" t="0" r="0" b="0"/>
            <wp:docPr id="8" name="图片 8" descr="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字"/>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6623" cy="548586"/>
                    </a:xfrm>
                    <a:prstGeom prst="rect">
                      <a:avLst/>
                    </a:prstGeom>
                    <a:noFill/>
                    <a:ln>
                      <a:noFill/>
                    </a:ln>
                  </pic:spPr>
                </pic:pic>
              </a:graphicData>
            </a:graphic>
          </wp:inline>
        </w:drawing>
      </w:r>
    </w:p>
    <w:p w:rsidR="006459DE" w:rsidRDefault="00242A2A">
      <w:pPr>
        <w:spacing w:beforeLines="150" w:before="468" w:afterLines="100" w:after="312"/>
        <w:jc w:val="center"/>
        <w:rPr>
          <w:rFonts w:ascii="方正小标宋简体" w:eastAsia="方正小标宋简体"/>
          <w:sz w:val="56"/>
          <w:szCs w:val="72"/>
        </w:rPr>
      </w:pPr>
      <w:r>
        <w:rPr>
          <w:rFonts w:ascii="方正小标宋简体" w:eastAsia="方正小标宋简体" w:hint="eastAsia"/>
          <w:sz w:val="56"/>
          <w:szCs w:val="72"/>
        </w:rPr>
        <w:t>2016-2017学年本科教学质量报告</w:t>
      </w:r>
    </w:p>
    <w:p w:rsidR="006459DE" w:rsidRDefault="006459DE">
      <w:pPr>
        <w:jc w:val="center"/>
        <w:rPr>
          <w:rFonts w:ascii="华文楷体" w:eastAsia="华文楷体" w:hAnsi="华文楷体" w:cs="Times New Roman"/>
          <w:b/>
          <w:spacing w:val="60"/>
          <w:sz w:val="44"/>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spacing w:line="400" w:lineRule="exact"/>
        <w:jc w:val="center"/>
        <w:rPr>
          <w:rFonts w:ascii="方正小标宋简体" w:eastAsia="方正小标宋简体"/>
          <w:sz w:val="36"/>
          <w:szCs w:val="36"/>
        </w:rPr>
      </w:pPr>
    </w:p>
    <w:p w:rsidR="006459DE" w:rsidRDefault="006459DE">
      <w:pPr>
        <w:spacing w:line="400" w:lineRule="exact"/>
        <w:jc w:val="center"/>
        <w:rPr>
          <w:rFonts w:ascii="方正小标宋简体" w:eastAsia="方正小标宋简体"/>
          <w:sz w:val="36"/>
          <w:szCs w:val="36"/>
        </w:rPr>
      </w:pPr>
    </w:p>
    <w:p w:rsidR="006459DE" w:rsidRDefault="006459DE">
      <w:pPr>
        <w:spacing w:line="400" w:lineRule="exact"/>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pPr>
    </w:p>
    <w:p w:rsidR="006459DE" w:rsidRDefault="00242A2A">
      <w:pPr>
        <w:jc w:val="center"/>
        <w:rPr>
          <w:rFonts w:ascii="方正小标宋简体" w:eastAsia="方正小标宋简体"/>
          <w:sz w:val="36"/>
          <w:szCs w:val="36"/>
        </w:rPr>
        <w:sectPr w:rsidR="006459DE">
          <w:footerReference w:type="default" r:id="rId11"/>
          <w:pgSz w:w="11906" w:h="16838"/>
          <w:pgMar w:top="1701" w:right="1531" w:bottom="1418" w:left="1531" w:header="851" w:footer="992" w:gutter="0"/>
          <w:cols w:space="425"/>
          <w:docGrid w:type="lines" w:linePitch="312"/>
        </w:sectPr>
      </w:pPr>
      <w:r>
        <w:rPr>
          <w:rFonts w:ascii="方正小标宋简体" w:eastAsia="方正小标宋简体" w:hint="eastAsia"/>
          <w:sz w:val="36"/>
          <w:szCs w:val="36"/>
        </w:rPr>
        <w:t>2017年12月</w:t>
      </w:r>
    </w:p>
    <w:p w:rsidR="006459DE" w:rsidRDefault="00242A2A">
      <w:pPr>
        <w:widowControl/>
        <w:jc w:val="left"/>
        <w:rPr>
          <w:rFonts w:ascii="方正大黑简体" w:eastAsia="方正大黑简体"/>
          <w:sz w:val="48"/>
          <w:szCs w:val="48"/>
        </w:rPr>
      </w:pPr>
      <w:r>
        <w:rPr>
          <w:rFonts w:ascii="方正大黑简体" w:eastAsia="方正大黑简体"/>
          <w:sz w:val="48"/>
          <w:szCs w:val="48"/>
        </w:rPr>
        <w:lastRenderedPageBreak/>
        <w:br w:type="page"/>
      </w:r>
    </w:p>
    <w:p w:rsidR="006459DE" w:rsidRPr="006A7929" w:rsidRDefault="00242A2A" w:rsidP="006A7929">
      <w:pPr>
        <w:jc w:val="center"/>
        <w:rPr>
          <w:rFonts w:ascii="方正大黑简体" w:eastAsia="方正大黑简体"/>
          <w:sz w:val="48"/>
          <w:szCs w:val="48"/>
        </w:rPr>
      </w:pPr>
      <w:r>
        <w:rPr>
          <w:rFonts w:ascii="方正大黑简体" w:eastAsia="方正大黑简体" w:hint="eastAsia"/>
          <w:sz w:val="48"/>
          <w:szCs w:val="48"/>
        </w:rPr>
        <w:t>目  录</w:t>
      </w:r>
    </w:p>
    <w:p w:rsidR="00785047" w:rsidRDefault="00785047" w:rsidP="00785047">
      <w:pPr>
        <w:pStyle w:val="10"/>
        <w:tabs>
          <w:tab w:val="right" w:leader="dot" w:pos="8834"/>
        </w:tabs>
        <w:spacing w:line="560" w:lineRule="exact"/>
        <w:rPr>
          <w:rFonts w:ascii="Times New Roman" w:eastAsia="仿宋" w:hAnsi="Times New Roman" w:cs="Times New Roman"/>
          <w:sz w:val="30"/>
          <w:szCs w:val="30"/>
        </w:rPr>
      </w:pPr>
    </w:p>
    <w:p w:rsidR="00785047" w:rsidRPr="00785047" w:rsidRDefault="00242A2A" w:rsidP="00785047">
      <w:pPr>
        <w:pStyle w:val="10"/>
        <w:tabs>
          <w:tab w:val="right" w:leader="dot" w:pos="8834"/>
        </w:tabs>
        <w:spacing w:line="560" w:lineRule="exact"/>
        <w:rPr>
          <w:rFonts w:ascii="Times New Roman" w:eastAsia="黑体" w:hAnsi="Times New Roman" w:cs="Times New Roman"/>
          <w:noProof/>
          <w:sz w:val="30"/>
          <w:szCs w:val="30"/>
        </w:rPr>
      </w:pPr>
      <w:r w:rsidRPr="00785047">
        <w:rPr>
          <w:rFonts w:ascii="Times New Roman" w:eastAsia="仿宋" w:hAnsi="Times New Roman" w:cs="Times New Roman"/>
          <w:sz w:val="30"/>
          <w:szCs w:val="30"/>
        </w:rPr>
        <w:fldChar w:fldCharType="begin"/>
      </w:r>
      <w:r w:rsidRPr="00785047">
        <w:rPr>
          <w:rFonts w:ascii="Times New Roman" w:eastAsia="仿宋" w:hAnsi="Times New Roman" w:cs="Times New Roman"/>
          <w:sz w:val="30"/>
          <w:szCs w:val="30"/>
        </w:rPr>
        <w:instrText xml:space="preserve"> TOC \o "1-2" \h \z \u </w:instrText>
      </w:r>
      <w:r w:rsidRPr="00785047">
        <w:rPr>
          <w:rFonts w:ascii="Times New Roman" w:eastAsia="仿宋" w:hAnsi="Times New Roman" w:cs="Times New Roman"/>
          <w:sz w:val="30"/>
          <w:szCs w:val="30"/>
        </w:rPr>
        <w:fldChar w:fldCharType="separate"/>
      </w:r>
      <w:hyperlink w:anchor="_Toc502497561" w:history="1">
        <w:r w:rsidR="00785047" w:rsidRPr="00785047">
          <w:rPr>
            <w:rStyle w:val="a7"/>
            <w:rFonts w:ascii="Times New Roman" w:eastAsia="黑体" w:hAnsi="Times New Roman" w:cs="Times New Roman"/>
            <w:noProof/>
            <w:sz w:val="30"/>
            <w:szCs w:val="30"/>
          </w:rPr>
          <w:t>第一部分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本科教育基本情况</w:t>
        </w:r>
        <w:r w:rsidR="00785047" w:rsidRPr="00785047">
          <w:rPr>
            <w:rFonts w:ascii="Times New Roman" w:eastAsia="黑体" w:hAnsi="Times New Roman" w:cs="Times New Roman"/>
            <w:noProof/>
            <w:webHidden/>
            <w:sz w:val="30"/>
            <w:szCs w:val="30"/>
          </w:rPr>
          <w:tab/>
        </w:r>
        <w:r w:rsidR="00785047" w:rsidRPr="00785047">
          <w:rPr>
            <w:rFonts w:ascii="Times New Roman" w:eastAsia="黑体" w:hAnsi="Times New Roman" w:cs="Times New Roman"/>
            <w:noProof/>
            <w:webHidden/>
            <w:sz w:val="30"/>
            <w:szCs w:val="30"/>
          </w:rPr>
          <w:fldChar w:fldCharType="begin"/>
        </w:r>
        <w:r w:rsidR="00785047" w:rsidRPr="00785047">
          <w:rPr>
            <w:rFonts w:ascii="Times New Roman" w:eastAsia="黑体" w:hAnsi="Times New Roman" w:cs="Times New Roman"/>
            <w:noProof/>
            <w:webHidden/>
            <w:sz w:val="30"/>
            <w:szCs w:val="30"/>
          </w:rPr>
          <w:instrText xml:space="preserve"> PAGEREF _Toc502497561 \h </w:instrText>
        </w:r>
        <w:r w:rsidR="00785047" w:rsidRPr="00785047">
          <w:rPr>
            <w:rFonts w:ascii="Times New Roman" w:eastAsia="黑体" w:hAnsi="Times New Roman" w:cs="Times New Roman"/>
            <w:noProof/>
            <w:webHidden/>
            <w:sz w:val="30"/>
            <w:szCs w:val="30"/>
          </w:rPr>
        </w:r>
        <w:r w:rsidR="00785047" w:rsidRPr="00785047">
          <w:rPr>
            <w:rFonts w:ascii="Times New Roman" w:eastAsia="黑体" w:hAnsi="Times New Roman" w:cs="Times New Roman"/>
            <w:noProof/>
            <w:webHidden/>
            <w:sz w:val="30"/>
            <w:szCs w:val="30"/>
          </w:rPr>
          <w:fldChar w:fldCharType="separate"/>
        </w:r>
        <w:r w:rsidR="0061574B">
          <w:rPr>
            <w:rFonts w:ascii="Times New Roman" w:eastAsia="黑体" w:hAnsi="Times New Roman" w:cs="Times New Roman"/>
            <w:noProof/>
            <w:webHidden/>
            <w:sz w:val="30"/>
            <w:szCs w:val="30"/>
          </w:rPr>
          <w:t>1</w:t>
        </w:r>
        <w:r w:rsidR="00785047" w:rsidRPr="00785047">
          <w:rPr>
            <w:rFonts w:ascii="Times New Roman" w:eastAsia="黑体"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62" w:history="1">
        <w:r w:rsidR="00785047" w:rsidRPr="00785047">
          <w:rPr>
            <w:rStyle w:val="a7"/>
            <w:rFonts w:ascii="Times New Roman" w:eastAsia="仿宋" w:hAnsi="Times New Roman" w:cs="Times New Roman"/>
            <w:noProof/>
            <w:sz w:val="30"/>
            <w:szCs w:val="30"/>
          </w:rPr>
          <w:t>1.</w:t>
        </w:r>
        <w:r w:rsidR="00785047" w:rsidRPr="00785047">
          <w:rPr>
            <w:rStyle w:val="a7"/>
            <w:rFonts w:ascii="Times New Roman" w:eastAsia="仿宋" w:hAnsi="Times New Roman" w:cs="Times New Roman"/>
            <w:noProof/>
            <w:sz w:val="30"/>
            <w:szCs w:val="30"/>
          </w:rPr>
          <w:t>人才培养目标</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_Toc502497562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1</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63" w:history="1">
        <w:r w:rsidR="00785047" w:rsidRPr="00785047">
          <w:rPr>
            <w:rStyle w:val="a7"/>
            <w:rFonts w:ascii="Times New Roman" w:eastAsia="仿宋" w:hAnsi="Times New Roman" w:cs="Times New Roman"/>
            <w:noProof/>
            <w:sz w:val="30"/>
            <w:szCs w:val="30"/>
          </w:rPr>
          <w:t>2.</w:t>
        </w:r>
        <w:r w:rsidR="00785047" w:rsidRPr="00785047">
          <w:rPr>
            <w:rStyle w:val="a7"/>
            <w:rFonts w:ascii="Times New Roman" w:eastAsia="仿宋" w:hAnsi="Times New Roman" w:cs="Times New Roman"/>
            <w:noProof/>
            <w:sz w:val="30"/>
            <w:szCs w:val="30"/>
          </w:rPr>
          <w:t>本科专业设置</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_Toc502497563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1</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64" w:history="1">
        <w:r w:rsidR="00785047" w:rsidRPr="00785047">
          <w:rPr>
            <w:rStyle w:val="a7"/>
            <w:rFonts w:ascii="Times New Roman" w:eastAsia="仿宋" w:hAnsi="Times New Roman" w:cs="Times New Roman"/>
            <w:noProof/>
            <w:sz w:val="30"/>
            <w:szCs w:val="30"/>
          </w:rPr>
          <w:t>3.</w:t>
        </w:r>
        <w:r w:rsidR="00785047" w:rsidRPr="00785047">
          <w:rPr>
            <w:rStyle w:val="a7"/>
            <w:rFonts w:ascii="Times New Roman" w:eastAsia="仿宋" w:hAnsi="Times New Roman" w:cs="Times New Roman"/>
            <w:noProof/>
            <w:sz w:val="30"/>
            <w:szCs w:val="30"/>
          </w:rPr>
          <w:t>学生规模</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_Toc502497564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65" w:history="1">
        <w:r w:rsidR="00785047" w:rsidRPr="00785047">
          <w:rPr>
            <w:rStyle w:val="a7"/>
            <w:rFonts w:ascii="Times New Roman" w:eastAsia="仿宋" w:hAnsi="Times New Roman" w:cs="Times New Roman"/>
            <w:noProof/>
            <w:sz w:val="30"/>
            <w:szCs w:val="30"/>
          </w:rPr>
          <w:t>4.</w:t>
        </w:r>
        <w:r w:rsidR="00785047" w:rsidRPr="00785047">
          <w:rPr>
            <w:rStyle w:val="a7"/>
            <w:rFonts w:ascii="Times New Roman" w:eastAsia="仿宋" w:hAnsi="Times New Roman" w:cs="Times New Roman"/>
            <w:noProof/>
            <w:sz w:val="30"/>
            <w:szCs w:val="30"/>
          </w:rPr>
          <w:t>生源质量</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_Toc502497565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3</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10"/>
        <w:tabs>
          <w:tab w:val="right" w:leader="dot" w:pos="8834"/>
        </w:tabs>
        <w:spacing w:line="560" w:lineRule="exact"/>
        <w:rPr>
          <w:rStyle w:val="a7"/>
          <w:rFonts w:ascii="Times New Roman" w:eastAsia="黑体" w:hAnsi="Times New Roman" w:cs="Times New Roman"/>
          <w:noProof/>
          <w:sz w:val="30"/>
          <w:szCs w:val="30"/>
        </w:rPr>
      </w:pPr>
      <w:hyperlink w:anchor="_Toc502497566" w:history="1">
        <w:r w:rsidR="00785047" w:rsidRPr="00785047">
          <w:rPr>
            <w:rStyle w:val="a7"/>
            <w:rFonts w:ascii="Times New Roman" w:eastAsia="黑体" w:hAnsi="Times New Roman" w:cs="Times New Roman"/>
            <w:noProof/>
            <w:sz w:val="30"/>
            <w:szCs w:val="30"/>
          </w:rPr>
          <w:t>第二部分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师资与教学条件</w:t>
        </w:r>
        <w:r w:rsidR="00785047" w:rsidRPr="00785047">
          <w:rPr>
            <w:rStyle w:val="a7"/>
            <w:rFonts w:ascii="Times New Roman" w:eastAsia="黑体" w:hAnsi="Times New Roman" w:cs="Times New Roman"/>
            <w:noProof/>
            <w:webHidden/>
            <w:sz w:val="30"/>
            <w:szCs w:val="30"/>
          </w:rPr>
          <w:tab/>
        </w:r>
        <w:r w:rsidR="00785047" w:rsidRPr="00785047">
          <w:rPr>
            <w:rStyle w:val="a7"/>
            <w:rFonts w:ascii="Times New Roman" w:eastAsia="黑体" w:hAnsi="Times New Roman" w:cs="Times New Roman"/>
            <w:noProof/>
            <w:webHidden/>
            <w:sz w:val="30"/>
            <w:szCs w:val="30"/>
          </w:rPr>
          <w:fldChar w:fldCharType="begin"/>
        </w:r>
        <w:r w:rsidR="00785047" w:rsidRPr="00785047">
          <w:rPr>
            <w:rStyle w:val="a7"/>
            <w:rFonts w:ascii="Times New Roman" w:eastAsia="黑体" w:hAnsi="Times New Roman" w:cs="Times New Roman"/>
            <w:noProof/>
            <w:webHidden/>
            <w:sz w:val="30"/>
            <w:szCs w:val="30"/>
          </w:rPr>
          <w:instrText xml:space="preserve"> PAGEREF _Toc502497566 \h </w:instrText>
        </w:r>
        <w:r w:rsidR="00785047" w:rsidRPr="00785047">
          <w:rPr>
            <w:rStyle w:val="a7"/>
            <w:rFonts w:ascii="Times New Roman" w:eastAsia="黑体" w:hAnsi="Times New Roman" w:cs="Times New Roman"/>
            <w:noProof/>
            <w:webHidden/>
            <w:sz w:val="30"/>
            <w:szCs w:val="30"/>
          </w:rPr>
        </w:r>
        <w:r w:rsidR="00785047" w:rsidRPr="00785047">
          <w:rPr>
            <w:rStyle w:val="a7"/>
            <w:rFonts w:ascii="Times New Roman" w:eastAsia="黑体" w:hAnsi="Times New Roman" w:cs="Times New Roman"/>
            <w:noProof/>
            <w:webHidden/>
            <w:sz w:val="30"/>
            <w:szCs w:val="30"/>
          </w:rPr>
          <w:fldChar w:fldCharType="separate"/>
        </w:r>
        <w:r w:rsidR="0061574B">
          <w:rPr>
            <w:rStyle w:val="a7"/>
            <w:rFonts w:ascii="Times New Roman" w:eastAsia="黑体" w:hAnsi="Times New Roman" w:cs="Times New Roman"/>
            <w:noProof/>
            <w:webHidden/>
            <w:sz w:val="30"/>
            <w:szCs w:val="30"/>
          </w:rPr>
          <w:t>4</w:t>
        </w:r>
        <w:r w:rsidR="00785047" w:rsidRPr="00785047">
          <w:rPr>
            <w:rStyle w:val="a7"/>
            <w:rFonts w:ascii="Times New Roman" w:eastAsia="黑体"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67" w:history="1">
        <w:r w:rsidR="00785047" w:rsidRPr="00785047">
          <w:rPr>
            <w:rStyle w:val="a7"/>
            <w:rFonts w:ascii="Times New Roman" w:eastAsia="仿宋" w:hAnsi="Times New Roman" w:cs="Times New Roman"/>
            <w:noProof/>
            <w:sz w:val="30"/>
            <w:szCs w:val="30"/>
          </w:rPr>
          <w:t>1.</w:t>
        </w:r>
        <w:r w:rsidR="00785047" w:rsidRPr="00785047">
          <w:rPr>
            <w:rStyle w:val="a7"/>
            <w:rFonts w:ascii="Times New Roman" w:eastAsia="仿宋" w:hAnsi="Times New Roman" w:cs="Times New Roman"/>
            <w:noProof/>
            <w:sz w:val="30"/>
            <w:szCs w:val="30"/>
          </w:rPr>
          <w:t>师资队伍</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_Toc502497567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4</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68" w:history="1">
        <w:r w:rsidR="00785047" w:rsidRPr="00785047">
          <w:rPr>
            <w:rStyle w:val="a7"/>
            <w:rFonts w:ascii="Times New Roman" w:eastAsia="仿宋" w:hAnsi="Times New Roman" w:cs="Times New Roman"/>
            <w:noProof/>
            <w:sz w:val="30"/>
            <w:szCs w:val="30"/>
          </w:rPr>
          <w:t>2.</w:t>
        </w:r>
        <w:r w:rsidR="00785047" w:rsidRPr="00785047">
          <w:rPr>
            <w:rStyle w:val="a7"/>
            <w:rFonts w:ascii="Times New Roman" w:eastAsia="仿宋" w:hAnsi="Times New Roman" w:cs="Times New Roman"/>
            <w:noProof/>
            <w:sz w:val="30"/>
            <w:szCs w:val="30"/>
          </w:rPr>
          <w:t>教学条件</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_Toc502497568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6</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10"/>
        <w:tabs>
          <w:tab w:val="right" w:leader="dot" w:pos="8834"/>
        </w:tabs>
        <w:spacing w:line="560" w:lineRule="exact"/>
        <w:rPr>
          <w:rStyle w:val="a7"/>
          <w:rFonts w:ascii="Times New Roman" w:eastAsia="黑体" w:hAnsi="Times New Roman" w:cs="Times New Roman"/>
          <w:noProof/>
          <w:sz w:val="30"/>
          <w:szCs w:val="30"/>
        </w:rPr>
      </w:pPr>
      <w:hyperlink w:anchor="_Toc502497569" w:history="1">
        <w:r w:rsidR="00785047" w:rsidRPr="00785047">
          <w:rPr>
            <w:rStyle w:val="a7"/>
            <w:rFonts w:ascii="Times New Roman" w:eastAsia="黑体" w:hAnsi="Times New Roman" w:cs="Times New Roman"/>
            <w:noProof/>
            <w:sz w:val="30"/>
            <w:szCs w:val="30"/>
          </w:rPr>
          <w:t>第三部分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教学建设与改革</w:t>
        </w:r>
        <w:r w:rsidR="00785047" w:rsidRPr="00785047">
          <w:rPr>
            <w:rStyle w:val="a7"/>
            <w:rFonts w:ascii="Times New Roman" w:eastAsia="黑体" w:hAnsi="Times New Roman" w:cs="Times New Roman"/>
            <w:noProof/>
            <w:webHidden/>
            <w:sz w:val="30"/>
            <w:szCs w:val="30"/>
          </w:rPr>
          <w:tab/>
        </w:r>
        <w:r w:rsidR="00785047" w:rsidRPr="00785047">
          <w:rPr>
            <w:rStyle w:val="a7"/>
            <w:rFonts w:ascii="Times New Roman" w:eastAsia="黑体" w:hAnsi="Times New Roman" w:cs="Times New Roman"/>
            <w:noProof/>
            <w:webHidden/>
            <w:sz w:val="30"/>
            <w:szCs w:val="30"/>
          </w:rPr>
          <w:fldChar w:fldCharType="begin"/>
        </w:r>
        <w:r w:rsidR="00785047" w:rsidRPr="00785047">
          <w:rPr>
            <w:rStyle w:val="a7"/>
            <w:rFonts w:ascii="Times New Roman" w:eastAsia="黑体" w:hAnsi="Times New Roman" w:cs="Times New Roman"/>
            <w:noProof/>
            <w:webHidden/>
            <w:sz w:val="30"/>
            <w:szCs w:val="30"/>
          </w:rPr>
          <w:instrText xml:space="preserve"> PAGEREF _Toc502497569 \h </w:instrText>
        </w:r>
        <w:r w:rsidR="00785047" w:rsidRPr="00785047">
          <w:rPr>
            <w:rStyle w:val="a7"/>
            <w:rFonts w:ascii="Times New Roman" w:eastAsia="黑体" w:hAnsi="Times New Roman" w:cs="Times New Roman"/>
            <w:noProof/>
            <w:webHidden/>
            <w:sz w:val="30"/>
            <w:szCs w:val="30"/>
          </w:rPr>
        </w:r>
        <w:r w:rsidR="00785047" w:rsidRPr="00785047">
          <w:rPr>
            <w:rStyle w:val="a7"/>
            <w:rFonts w:ascii="Times New Roman" w:eastAsia="黑体" w:hAnsi="Times New Roman" w:cs="Times New Roman"/>
            <w:noProof/>
            <w:webHidden/>
            <w:sz w:val="30"/>
            <w:szCs w:val="30"/>
          </w:rPr>
          <w:fldChar w:fldCharType="separate"/>
        </w:r>
        <w:r w:rsidR="0061574B">
          <w:rPr>
            <w:rStyle w:val="a7"/>
            <w:rFonts w:ascii="Times New Roman" w:eastAsia="黑体" w:hAnsi="Times New Roman" w:cs="Times New Roman"/>
            <w:noProof/>
            <w:webHidden/>
            <w:sz w:val="30"/>
            <w:szCs w:val="30"/>
          </w:rPr>
          <w:t>11</w:t>
        </w:r>
        <w:r w:rsidR="00785047" w:rsidRPr="00785047">
          <w:rPr>
            <w:rStyle w:val="a7"/>
            <w:rFonts w:ascii="Times New Roman" w:eastAsia="黑体"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0" w:history="1">
        <w:r w:rsidR="00785047" w:rsidRPr="00785047">
          <w:rPr>
            <w:rStyle w:val="a7"/>
            <w:rFonts w:ascii="Times New Roman" w:eastAsia="仿宋" w:hAnsi="Times New Roman" w:cs="Times New Roman"/>
            <w:noProof/>
            <w:sz w:val="30"/>
            <w:szCs w:val="30"/>
          </w:rPr>
          <w:t>1.</w:t>
        </w:r>
        <w:r w:rsidR="00785047" w:rsidRPr="00785047">
          <w:rPr>
            <w:rStyle w:val="a7"/>
            <w:rFonts w:ascii="Times New Roman" w:eastAsia="仿宋" w:hAnsi="Times New Roman" w:cs="Times New Roman"/>
            <w:noProof/>
            <w:sz w:val="30"/>
            <w:szCs w:val="30"/>
          </w:rPr>
          <w:t>加强教学基本建设</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_Toc502497570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11</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1" w:history="1">
        <w:r w:rsidR="00785047" w:rsidRPr="00785047">
          <w:rPr>
            <w:rStyle w:val="a7"/>
            <w:rFonts w:ascii="Times New Roman" w:eastAsia="仿宋" w:hAnsi="Times New Roman" w:cs="Times New Roman"/>
            <w:noProof/>
            <w:sz w:val="30"/>
            <w:szCs w:val="30"/>
          </w:rPr>
          <w:t>2.</w:t>
        </w:r>
        <w:r w:rsidR="00785047" w:rsidRPr="00785047">
          <w:rPr>
            <w:rStyle w:val="a7"/>
            <w:rFonts w:ascii="Times New Roman" w:eastAsia="仿宋" w:hAnsi="Times New Roman" w:cs="Times New Roman"/>
            <w:noProof/>
            <w:sz w:val="30"/>
            <w:szCs w:val="30"/>
          </w:rPr>
          <w:t>推进创新创业教育</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_Toc502497571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14</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2" w:history="1">
        <w:r w:rsidR="00785047" w:rsidRPr="00785047">
          <w:rPr>
            <w:rStyle w:val="a7"/>
            <w:rFonts w:ascii="Times New Roman" w:eastAsia="仿宋" w:hAnsi="Times New Roman" w:cs="Times New Roman"/>
            <w:noProof/>
            <w:sz w:val="30"/>
            <w:szCs w:val="30"/>
          </w:rPr>
          <w:t>3.</w:t>
        </w:r>
        <w:r w:rsidR="00785047" w:rsidRPr="00785047">
          <w:rPr>
            <w:rStyle w:val="a7"/>
            <w:rFonts w:ascii="Times New Roman" w:eastAsia="仿宋" w:hAnsi="Times New Roman" w:cs="Times New Roman"/>
            <w:noProof/>
            <w:sz w:val="30"/>
            <w:szCs w:val="30"/>
          </w:rPr>
          <w:t>深化国内外合作办学</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_Toc502497572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16</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3" w:history="1">
        <w:r w:rsidR="00785047" w:rsidRPr="00785047">
          <w:rPr>
            <w:rStyle w:val="a7"/>
            <w:rFonts w:ascii="Times New Roman" w:eastAsia="仿宋" w:hAnsi="Times New Roman" w:cs="Times New Roman"/>
            <w:noProof/>
            <w:sz w:val="30"/>
            <w:szCs w:val="30"/>
          </w:rPr>
          <w:t>4.</w:t>
        </w:r>
        <w:r w:rsidR="00D82E1F">
          <w:rPr>
            <w:rStyle w:val="a7"/>
            <w:rFonts w:ascii="Times New Roman" w:eastAsia="仿宋" w:hAnsi="Times New Roman" w:cs="Times New Roman" w:hint="eastAsia"/>
            <w:noProof/>
            <w:sz w:val="30"/>
            <w:szCs w:val="30"/>
          </w:rPr>
          <w:t>扎实</w:t>
        </w:r>
        <w:r w:rsidR="00785047" w:rsidRPr="00785047">
          <w:rPr>
            <w:rStyle w:val="a7"/>
            <w:rFonts w:ascii="Times New Roman" w:eastAsia="仿宋" w:hAnsi="Times New Roman" w:cs="Times New Roman"/>
            <w:noProof/>
            <w:sz w:val="30"/>
            <w:szCs w:val="30"/>
          </w:rPr>
          <w:t>推进文化素质教育</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_Toc502497573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17</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10"/>
        <w:tabs>
          <w:tab w:val="right" w:leader="dot" w:pos="8834"/>
        </w:tabs>
        <w:spacing w:line="560" w:lineRule="exact"/>
        <w:rPr>
          <w:rStyle w:val="a7"/>
          <w:rFonts w:ascii="Times New Roman" w:eastAsia="黑体" w:hAnsi="Times New Roman" w:cs="Times New Roman"/>
          <w:noProof/>
          <w:sz w:val="30"/>
          <w:szCs w:val="30"/>
        </w:rPr>
      </w:pPr>
      <w:hyperlink w:anchor="_Toc502497574" w:history="1">
        <w:r w:rsidR="00785047" w:rsidRPr="00785047">
          <w:rPr>
            <w:rStyle w:val="a7"/>
            <w:rFonts w:ascii="Times New Roman" w:eastAsia="黑体" w:hAnsi="Times New Roman" w:cs="Times New Roman"/>
            <w:noProof/>
            <w:sz w:val="30"/>
            <w:szCs w:val="30"/>
          </w:rPr>
          <w:t>第四部分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教学质量保障</w:t>
        </w:r>
        <w:r w:rsidR="00785047" w:rsidRPr="00785047">
          <w:rPr>
            <w:rStyle w:val="a7"/>
            <w:rFonts w:ascii="Times New Roman" w:eastAsia="黑体" w:hAnsi="Times New Roman" w:cs="Times New Roman"/>
            <w:noProof/>
            <w:webHidden/>
            <w:sz w:val="30"/>
            <w:szCs w:val="30"/>
          </w:rPr>
          <w:tab/>
        </w:r>
        <w:r w:rsidR="00785047" w:rsidRPr="00785047">
          <w:rPr>
            <w:rStyle w:val="a7"/>
            <w:rFonts w:ascii="Times New Roman" w:eastAsia="黑体" w:hAnsi="Times New Roman" w:cs="Times New Roman"/>
            <w:noProof/>
            <w:webHidden/>
            <w:sz w:val="30"/>
            <w:szCs w:val="30"/>
          </w:rPr>
          <w:fldChar w:fldCharType="begin"/>
        </w:r>
        <w:r w:rsidR="00785047" w:rsidRPr="00785047">
          <w:rPr>
            <w:rStyle w:val="a7"/>
            <w:rFonts w:ascii="Times New Roman" w:eastAsia="黑体" w:hAnsi="Times New Roman" w:cs="Times New Roman"/>
            <w:noProof/>
            <w:webHidden/>
            <w:sz w:val="30"/>
            <w:szCs w:val="30"/>
          </w:rPr>
          <w:instrText xml:space="preserve"> PAGEREF _Toc502497574 \h </w:instrText>
        </w:r>
        <w:r w:rsidR="00785047" w:rsidRPr="00785047">
          <w:rPr>
            <w:rStyle w:val="a7"/>
            <w:rFonts w:ascii="Times New Roman" w:eastAsia="黑体" w:hAnsi="Times New Roman" w:cs="Times New Roman"/>
            <w:noProof/>
            <w:webHidden/>
            <w:sz w:val="30"/>
            <w:szCs w:val="30"/>
          </w:rPr>
        </w:r>
        <w:r w:rsidR="00785047" w:rsidRPr="00785047">
          <w:rPr>
            <w:rStyle w:val="a7"/>
            <w:rFonts w:ascii="Times New Roman" w:eastAsia="黑体" w:hAnsi="Times New Roman" w:cs="Times New Roman"/>
            <w:noProof/>
            <w:webHidden/>
            <w:sz w:val="30"/>
            <w:szCs w:val="30"/>
          </w:rPr>
          <w:fldChar w:fldCharType="separate"/>
        </w:r>
        <w:r w:rsidR="0061574B">
          <w:rPr>
            <w:rStyle w:val="a7"/>
            <w:rFonts w:ascii="Times New Roman" w:eastAsia="黑体" w:hAnsi="Times New Roman" w:cs="Times New Roman"/>
            <w:noProof/>
            <w:webHidden/>
            <w:sz w:val="30"/>
            <w:szCs w:val="30"/>
          </w:rPr>
          <w:t>20</w:t>
        </w:r>
        <w:r w:rsidR="00785047" w:rsidRPr="00785047">
          <w:rPr>
            <w:rStyle w:val="a7"/>
            <w:rFonts w:ascii="Times New Roman" w:eastAsia="黑体"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5" w:history="1">
        <w:r w:rsidR="00785047" w:rsidRPr="00785047">
          <w:rPr>
            <w:rStyle w:val="a7"/>
            <w:rFonts w:ascii="Times New Roman" w:eastAsia="仿宋" w:hAnsi="Times New Roman" w:cs="Times New Roman"/>
            <w:noProof/>
            <w:sz w:val="30"/>
            <w:szCs w:val="30"/>
          </w:rPr>
          <w:t>1.</w:t>
        </w:r>
        <w:r w:rsidR="00785047" w:rsidRPr="00785047">
          <w:rPr>
            <w:rStyle w:val="a7"/>
            <w:rFonts w:ascii="Times New Roman" w:eastAsia="仿宋" w:hAnsi="Times New Roman" w:cs="Times New Roman"/>
            <w:noProof/>
            <w:sz w:val="30"/>
            <w:szCs w:val="30"/>
          </w:rPr>
          <w:t>强化人才培养中心地位</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_Toc502497575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20</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6" w:history="1">
        <w:r w:rsidR="00785047" w:rsidRPr="00785047">
          <w:rPr>
            <w:rStyle w:val="a7"/>
            <w:rFonts w:ascii="Times New Roman" w:eastAsia="仿宋" w:hAnsi="Times New Roman" w:cs="Times New Roman"/>
            <w:noProof/>
            <w:sz w:val="30"/>
            <w:szCs w:val="30"/>
          </w:rPr>
          <w:t>2.</w:t>
        </w:r>
        <w:r w:rsidR="00785047" w:rsidRPr="00785047">
          <w:rPr>
            <w:rStyle w:val="a7"/>
            <w:rFonts w:ascii="Times New Roman" w:eastAsia="仿宋" w:hAnsi="Times New Roman" w:cs="Times New Roman"/>
            <w:noProof/>
            <w:sz w:val="30"/>
            <w:szCs w:val="30"/>
          </w:rPr>
          <w:t>做好审核评估工作</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_Toc502497576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20</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7" w:history="1">
        <w:r w:rsidR="00785047" w:rsidRPr="00785047">
          <w:rPr>
            <w:rStyle w:val="a7"/>
            <w:rFonts w:ascii="Times New Roman" w:eastAsia="仿宋" w:hAnsi="Times New Roman" w:cs="Times New Roman"/>
            <w:noProof/>
            <w:sz w:val="30"/>
            <w:szCs w:val="30"/>
          </w:rPr>
          <w:t>3.</w:t>
        </w:r>
        <w:r w:rsidR="00785047" w:rsidRPr="00785047">
          <w:rPr>
            <w:rStyle w:val="a7"/>
            <w:rFonts w:ascii="Times New Roman" w:eastAsia="仿宋" w:hAnsi="Times New Roman" w:cs="Times New Roman"/>
            <w:noProof/>
            <w:sz w:val="30"/>
            <w:szCs w:val="30"/>
          </w:rPr>
          <w:t>推动专业认证</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_Toc502497577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21</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8" w:history="1">
        <w:r w:rsidR="00785047" w:rsidRPr="00785047">
          <w:rPr>
            <w:rStyle w:val="a7"/>
            <w:rFonts w:ascii="Times New Roman" w:eastAsia="仿宋" w:hAnsi="Times New Roman" w:cs="Times New Roman"/>
            <w:noProof/>
            <w:sz w:val="30"/>
            <w:szCs w:val="30"/>
          </w:rPr>
          <w:t>4.</w:t>
        </w:r>
        <w:r w:rsidR="00785047" w:rsidRPr="00785047">
          <w:rPr>
            <w:rStyle w:val="a7"/>
            <w:rFonts w:ascii="Times New Roman" w:eastAsia="仿宋" w:hAnsi="Times New Roman" w:cs="Times New Roman"/>
            <w:noProof/>
            <w:sz w:val="30"/>
            <w:szCs w:val="30"/>
          </w:rPr>
          <w:t>开展本科教学基本状态分析</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_Toc502497578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22</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79" w:history="1">
        <w:r w:rsidR="00785047" w:rsidRPr="00785047">
          <w:rPr>
            <w:rStyle w:val="a7"/>
            <w:rFonts w:ascii="Times New Roman" w:eastAsia="仿宋" w:hAnsi="Times New Roman" w:cs="Times New Roman"/>
            <w:noProof/>
            <w:sz w:val="30"/>
            <w:szCs w:val="30"/>
          </w:rPr>
          <w:t>5.</w:t>
        </w:r>
        <w:r w:rsidR="00785047" w:rsidRPr="00785047">
          <w:rPr>
            <w:rStyle w:val="a7"/>
            <w:rFonts w:ascii="Times New Roman" w:eastAsia="仿宋" w:hAnsi="Times New Roman" w:cs="Times New Roman"/>
            <w:noProof/>
            <w:sz w:val="30"/>
            <w:szCs w:val="30"/>
          </w:rPr>
          <w:t>完善教学检查、督导和信息反馈机制</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_Toc502497579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22</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10"/>
        <w:tabs>
          <w:tab w:val="right" w:leader="dot" w:pos="8834"/>
        </w:tabs>
        <w:spacing w:line="560" w:lineRule="exact"/>
        <w:rPr>
          <w:rStyle w:val="a7"/>
          <w:rFonts w:ascii="Times New Roman" w:eastAsia="黑体" w:hAnsi="Times New Roman" w:cs="Times New Roman"/>
          <w:noProof/>
          <w:sz w:val="30"/>
          <w:szCs w:val="30"/>
        </w:rPr>
      </w:pPr>
      <w:hyperlink w:anchor="_Toc502497580" w:history="1">
        <w:r w:rsidR="00785047" w:rsidRPr="00785047">
          <w:rPr>
            <w:rStyle w:val="a7"/>
            <w:rFonts w:ascii="Times New Roman" w:eastAsia="黑体" w:hAnsi="Times New Roman" w:cs="Times New Roman"/>
            <w:noProof/>
            <w:sz w:val="30"/>
            <w:szCs w:val="30"/>
          </w:rPr>
          <w:t>第五部分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学生学习效果</w:t>
        </w:r>
        <w:r w:rsidR="00785047" w:rsidRPr="00785047">
          <w:rPr>
            <w:rStyle w:val="a7"/>
            <w:rFonts w:ascii="Times New Roman" w:eastAsia="黑体" w:hAnsi="Times New Roman" w:cs="Times New Roman"/>
            <w:noProof/>
            <w:webHidden/>
            <w:sz w:val="30"/>
            <w:szCs w:val="30"/>
          </w:rPr>
          <w:tab/>
        </w:r>
        <w:r w:rsidR="00785047" w:rsidRPr="00785047">
          <w:rPr>
            <w:rStyle w:val="a7"/>
            <w:rFonts w:ascii="Times New Roman" w:eastAsia="黑体" w:hAnsi="Times New Roman" w:cs="Times New Roman"/>
            <w:noProof/>
            <w:webHidden/>
            <w:sz w:val="30"/>
            <w:szCs w:val="30"/>
          </w:rPr>
          <w:fldChar w:fldCharType="begin"/>
        </w:r>
        <w:r w:rsidR="00785047" w:rsidRPr="00785047">
          <w:rPr>
            <w:rStyle w:val="a7"/>
            <w:rFonts w:ascii="Times New Roman" w:eastAsia="黑体" w:hAnsi="Times New Roman" w:cs="Times New Roman"/>
            <w:noProof/>
            <w:webHidden/>
            <w:sz w:val="30"/>
            <w:szCs w:val="30"/>
          </w:rPr>
          <w:instrText xml:space="preserve"> PAGEREF _Toc502497580 \h </w:instrText>
        </w:r>
        <w:r w:rsidR="00785047" w:rsidRPr="00785047">
          <w:rPr>
            <w:rStyle w:val="a7"/>
            <w:rFonts w:ascii="Times New Roman" w:eastAsia="黑体" w:hAnsi="Times New Roman" w:cs="Times New Roman"/>
            <w:noProof/>
            <w:webHidden/>
            <w:sz w:val="30"/>
            <w:szCs w:val="30"/>
          </w:rPr>
        </w:r>
        <w:r w:rsidR="00785047" w:rsidRPr="00785047">
          <w:rPr>
            <w:rStyle w:val="a7"/>
            <w:rFonts w:ascii="Times New Roman" w:eastAsia="黑体" w:hAnsi="Times New Roman" w:cs="Times New Roman"/>
            <w:noProof/>
            <w:webHidden/>
            <w:sz w:val="30"/>
            <w:szCs w:val="30"/>
          </w:rPr>
          <w:fldChar w:fldCharType="separate"/>
        </w:r>
        <w:r w:rsidR="0061574B">
          <w:rPr>
            <w:rStyle w:val="a7"/>
            <w:rFonts w:ascii="Times New Roman" w:eastAsia="黑体" w:hAnsi="Times New Roman" w:cs="Times New Roman"/>
            <w:noProof/>
            <w:webHidden/>
            <w:sz w:val="30"/>
            <w:szCs w:val="30"/>
          </w:rPr>
          <w:t>23</w:t>
        </w:r>
        <w:r w:rsidR="00785047" w:rsidRPr="00785047">
          <w:rPr>
            <w:rStyle w:val="a7"/>
            <w:rFonts w:ascii="Times New Roman" w:eastAsia="黑体"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81" w:history="1">
        <w:r w:rsidR="00785047" w:rsidRPr="00785047">
          <w:rPr>
            <w:rStyle w:val="a7"/>
            <w:rFonts w:ascii="Times New Roman" w:eastAsia="仿宋" w:hAnsi="Times New Roman" w:cs="Times New Roman"/>
            <w:noProof/>
            <w:sz w:val="30"/>
            <w:szCs w:val="30"/>
          </w:rPr>
          <w:t>1.</w:t>
        </w:r>
        <w:r w:rsidR="00785047" w:rsidRPr="00785047">
          <w:rPr>
            <w:rStyle w:val="a7"/>
            <w:rFonts w:ascii="Times New Roman" w:eastAsia="仿宋" w:hAnsi="Times New Roman" w:cs="Times New Roman"/>
            <w:noProof/>
            <w:sz w:val="30"/>
            <w:szCs w:val="30"/>
          </w:rPr>
          <w:t>学生学习成果</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_Toc502497581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23</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82" w:history="1">
        <w:r w:rsidR="00785047" w:rsidRPr="00785047">
          <w:rPr>
            <w:rStyle w:val="a7"/>
            <w:rFonts w:ascii="Times New Roman" w:eastAsia="仿宋" w:hAnsi="Times New Roman" w:cs="Times New Roman"/>
            <w:noProof/>
            <w:sz w:val="30"/>
            <w:szCs w:val="30"/>
          </w:rPr>
          <w:t>2.</w:t>
        </w:r>
        <w:r w:rsidR="00785047" w:rsidRPr="00785047">
          <w:rPr>
            <w:rStyle w:val="a7"/>
            <w:rFonts w:ascii="Times New Roman" w:eastAsia="仿宋" w:hAnsi="Times New Roman" w:cs="Times New Roman"/>
            <w:noProof/>
            <w:sz w:val="30"/>
            <w:szCs w:val="30"/>
          </w:rPr>
          <w:t>毕业生就业质量</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_Toc502497582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23</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83" w:history="1">
        <w:r w:rsidR="00785047" w:rsidRPr="00785047">
          <w:rPr>
            <w:rStyle w:val="a7"/>
            <w:rFonts w:ascii="Times New Roman" w:eastAsia="仿宋" w:hAnsi="Times New Roman" w:cs="Times New Roman"/>
            <w:noProof/>
            <w:sz w:val="30"/>
            <w:szCs w:val="30"/>
          </w:rPr>
          <w:t>3.</w:t>
        </w:r>
        <w:r w:rsidR="00785047" w:rsidRPr="00785047">
          <w:rPr>
            <w:rStyle w:val="a7"/>
            <w:rFonts w:ascii="Times New Roman" w:eastAsia="仿宋" w:hAnsi="Times New Roman" w:cs="Times New Roman"/>
            <w:noProof/>
            <w:sz w:val="30"/>
            <w:szCs w:val="30"/>
          </w:rPr>
          <w:t>学生体质状况及体育代表队竞技成绩</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_Toc502497583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25</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84" w:history="1">
        <w:r w:rsidR="00785047" w:rsidRPr="00785047">
          <w:rPr>
            <w:rStyle w:val="a7"/>
            <w:rFonts w:ascii="Times New Roman" w:eastAsia="仿宋" w:hAnsi="Times New Roman" w:cs="Times New Roman"/>
            <w:noProof/>
            <w:sz w:val="30"/>
            <w:szCs w:val="30"/>
          </w:rPr>
          <w:t>4.</w:t>
        </w:r>
        <w:r w:rsidR="00785047" w:rsidRPr="00785047">
          <w:rPr>
            <w:rStyle w:val="a7"/>
            <w:rFonts w:ascii="Times New Roman" w:eastAsia="仿宋" w:hAnsi="Times New Roman" w:cs="Times New Roman"/>
            <w:noProof/>
            <w:sz w:val="30"/>
            <w:szCs w:val="30"/>
          </w:rPr>
          <w:t>社会对毕业生的评价</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_Toc502497584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27</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20"/>
        <w:tabs>
          <w:tab w:val="right" w:leader="dot" w:pos="8834"/>
        </w:tabs>
        <w:spacing w:line="560" w:lineRule="exact"/>
        <w:rPr>
          <w:rFonts w:ascii="Times New Roman" w:eastAsia="仿宋" w:hAnsi="Times New Roman" w:cs="Times New Roman"/>
          <w:noProof/>
          <w:sz w:val="30"/>
          <w:szCs w:val="30"/>
        </w:rPr>
      </w:pPr>
      <w:hyperlink w:anchor="_Toc502497585" w:history="1">
        <w:r w:rsidR="00785047" w:rsidRPr="00785047">
          <w:rPr>
            <w:rStyle w:val="a7"/>
            <w:rFonts w:ascii="Times New Roman" w:eastAsia="仿宋" w:hAnsi="Times New Roman" w:cs="Times New Roman"/>
            <w:noProof/>
            <w:sz w:val="30"/>
            <w:szCs w:val="30"/>
          </w:rPr>
          <w:t>5.</w:t>
        </w:r>
        <w:r w:rsidR="00785047" w:rsidRPr="00785047">
          <w:rPr>
            <w:rStyle w:val="a7"/>
            <w:rFonts w:ascii="Times New Roman" w:eastAsia="仿宋" w:hAnsi="Times New Roman" w:cs="Times New Roman"/>
            <w:noProof/>
            <w:sz w:val="30"/>
            <w:szCs w:val="30"/>
          </w:rPr>
          <w:t>学生学习经历满意度</w:t>
        </w:r>
        <w:r w:rsidR="00785047" w:rsidRPr="00785047">
          <w:rPr>
            <w:rFonts w:ascii="Times New Roman" w:eastAsia="仿宋" w:hAnsi="Times New Roman" w:cs="Times New Roman"/>
            <w:noProof/>
            <w:webHidden/>
            <w:sz w:val="30"/>
            <w:szCs w:val="30"/>
          </w:rPr>
          <w:tab/>
        </w:r>
        <w:r w:rsidR="00785047" w:rsidRPr="00785047">
          <w:rPr>
            <w:rFonts w:ascii="Times New Roman" w:eastAsia="仿宋" w:hAnsi="Times New Roman" w:cs="Times New Roman"/>
            <w:noProof/>
            <w:webHidden/>
            <w:sz w:val="30"/>
            <w:szCs w:val="30"/>
          </w:rPr>
          <w:fldChar w:fldCharType="begin"/>
        </w:r>
        <w:r w:rsidR="00785047" w:rsidRPr="00785047">
          <w:rPr>
            <w:rFonts w:ascii="Times New Roman" w:eastAsia="仿宋" w:hAnsi="Times New Roman" w:cs="Times New Roman"/>
            <w:noProof/>
            <w:webHidden/>
            <w:sz w:val="30"/>
            <w:szCs w:val="30"/>
          </w:rPr>
          <w:instrText xml:space="preserve"> PAGEREF _Toc502497585 \h </w:instrText>
        </w:r>
        <w:r w:rsidR="00785047" w:rsidRPr="00785047">
          <w:rPr>
            <w:rFonts w:ascii="Times New Roman" w:eastAsia="仿宋" w:hAnsi="Times New Roman" w:cs="Times New Roman"/>
            <w:noProof/>
            <w:webHidden/>
            <w:sz w:val="30"/>
            <w:szCs w:val="30"/>
          </w:rPr>
        </w:r>
        <w:r w:rsidR="00785047" w:rsidRPr="00785047">
          <w:rPr>
            <w:rFonts w:ascii="Times New Roman" w:eastAsia="仿宋" w:hAnsi="Times New Roman" w:cs="Times New Roman"/>
            <w:noProof/>
            <w:webHidden/>
            <w:sz w:val="30"/>
            <w:szCs w:val="30"/>
          </w:rPr>
          <w:fldChar w:fldCharType="separate"/>
        </w:r>
        <w:r w:rsidR="0061574B">
          <w:rPr>
            <w:rFonts w:ascii="Times New Roman" w:eastAsia="仿宋" w:hAnsi="Times New Roman" w:cs="Times New Roman"/>
            <w:noProof/>
            <w:webHidden/>
            <w:sz w:val="30"/>
            <w:szCs w:val="30"/>
          </w:rPr>
          <w:t>27</w:t>
        </w:r>
        <w:r w:rsidR="00785047" w:rsidRPr="00785047">
          <w:rPr>
            <w:rFonts w:ascii="Times New Roman" w:eastAsia="仿宋" w:hAnsi="Times New Roman" w:cs="Times New Roman"/>
            <w:noProof/>
            <w:webHidden/>
            <w:sz w:val="30"/>
            <w:szCs w:val="30"/>
          </w:rPr>
          <w:fldChar w:fldCharType="end"/>
        </w:r>
      </w:hyperlink>
    </w:p>
    <w:p w:rsidR="00785047" w:rsidRPr="00785047" w:rsidRDefault="00FC679C" w:rsidP="00785047">
      <w:pPr>
        <w:pStyle w:val="10"/>
        <w:tabs>
          <w:tab w:val="right" w:leader="dot" w:pos="8834"/>
        </w:tabs>
        <w:spacing w:line="560" w:lineRule="exact"/>
        <w:rPr>
          <w:rStyle w:val="a7"/>
          <w:rFonts w:ascii="Times New Roman" w:eastAsia="黑体" w:hAnsi="Times New Roman" w:cs="Times New Roman"/>
          <w:noProof/>
          <w:sz w:val="30"/>
          <w:szCs w:val="30"/>
        </w:rPr>
      </w:pPr>
      <w:hyperlink w:anchor="_Toc502497586" w:history="1">
        <w:r w:rsidR="00785047" w:rsidRPr="00785047">
          <w:rPr>
            <w:rStyle w:val="a7"/>
            <w:rFonts w:ascii="Times New Roman" w:eastAsia="黑体" w:hAnsi="Times New Roman" w:cs="Times New Roman"/>
            <w:noProof/>
            <w:sz w:val="30"/>
            <w:szCs w:val="30"/>
          </w:rPr>
          <w:t>第六部分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教育教学特色</w:t>
        </w:r>
        <w:r w:rsidR="00785047" w:rsidRPr="00785047">
          <w:rPr>
            <w:rStyle w:val="a7"/>
            <w:rFonts w:ascii="Times New Roman" w:eastAsia="黑体" w:hAnsi="Times New Roman" w:cs="Times New Roman"/>
            <w:noProof/>
            <w:webHidden/>
            <w:sz w:val="30"/>
            <w:szCs w:val="30"/>
          </w:rPr>
          <w:tab/>
        </w:r>
        <w:r w:rsidR="00785047" w:rsidRPr="00785047">
          <w:rPr>
            <w:rStyle w:val="a7"/>
            <w:rFonts w:ascii="Times New Roman" w:eastAsia="黑体" w:hAnsi="Times New Roman" w:cs="Times New Roman"/>
            <w:noProof/>
            <w:webHidden/>
            <w:sz w:val="30"/>
            <w:szCs w:val="30"/>
          </w:rPr>
          <w:fldChar w:fldCharType="begin"/>
        </w:r>
        <w:r w:rsidR="00785047" w:rsidRPr="00785047">
          <w:rPr>
            <w:rStyle w:val="a7"/>
            <w:rFonts w:ascii="Times New Roman" w:eastAsia="黑体" w:hAnsi="Times New Roman" w:cs="Times New Roman"/>
            <w:noProof/>
            <w:webHidden/>
            <w:sz w:val="30"/>
            <w:szCs w:val="30"/>
          </w:rPr>
          <w:instrText xml:space="preserve"> PAGEREF _Toc502497586 \h </w:instrText>
        </w:r>
        <w:r w:rsidR="00785047" w:rsidRPr="00785047">
          <w:rPr>
            <w:rStyle w:val="a7"/>
            <w:rFonts w:ascii="Times New Roman" w:eastAsia="黑体" w:hAnsi="Times New Roman" w:cs="Times New Roman"/>
            <w:noProof/>
            <w:webHidden/>
            <w:sz w:val="30"/>
            <w:szCs w:val="30"/>
          </w:rPr>
        </w:r>
        <w:r w:rsidR="00785047" w:rsidRPr="00785047">
          <w:rPr>
            <w:rStyle w:val="a7"/>
            <w:rFonts w:ascii="Times New Roman" w:eastAsia="黑体" w:hAnsi="Times New Roman" w:cs="Times New Roman"/>
            <w:noProof/>
            <w:webHidden/>
            <w:sz w:val="30"/>
            <w:szCs w:val="30"/>
          </w:rPr>
          <w:fldChar w:fldCharType="separate"/>
        </w:r>
        <w:r w:rsidR="0061574B">
          <w:rPr>
            <w:rStyle w:val="a7"/>
            <w:rFonts w:ascii="Times New Roman" w:eastAsia="黑体" w:hAnsi="Times New Roman" w:cs="Times New Roman"/>
            <w:noProof/>
            <w:webHidden/>
            <w:sz w:val="30"/>
            <w:szCs w:val="30"/>
          </w:rPr>
          <w:t>29</w:t>
        </w:r>
        <w:r w:rsidR="00785047" w:rsidRPr="00785047">
          <w:rPr>
            <w:rStyle w:val="a7"/>
            <w:rFonts w:ascii="Times New Roman" w:eastAsia="黑体" w:hAnsi="Times New Roman" w:cs="Times New Roman"/>
            <w:noProof/>
            <w:webHidden/>
            <w:sz w:val="30"/>
            <w:szCs w:val="30"/>
          </w:rPr>
          <w:fldChar w:fldCharType="end"/>
        </w:r>
      </w:hyperlink>
    </w:p>
    <w:p w:rsidR="00785047" w:rsidRPr="00785047" w:rsidRDefault="00FC679C" w:rsidP="00785047">
      <w:pPr>
        <w:pStyle w:val="10"/>
        <w:tabs>
          <w:tab w:val="right" w:leader="dot" w:pos="8834"/>
        </w:tabs>
        <w:spacing w:line="560" w:lineRule="exact"/>
        <w:rPr>
          <w:rStyle w:val="a7"/>
          <w:rFonts w:ascii="Times New Roman" w:eastAsia="黑体" w:hAnsi="Times New Roman" w:cs="Times New Roman"/>
          <w:noProof/>
          <w:sz w:val="30"/>
          <w:szCs w:val="30"/>
        </w:rPr>
      </w:pPr>
      <w:hyperlink w:anchor="_Toc502497590" w:history="1">
        <w:r w:rsidR="00785047" w:rsidRPr="00785047">
          <w:rPr>
            <w:rStyle w:val="a7"/>
            <w:rFonts w:ascii="Times New Roman" w:eastAsia="黑体" w:hAnsi="Times New Roman" w:cs="Times New Roman"/>
            <w:noProof/>
            <w:sz w:val="30"/>
            <w:szCs w:val="30"/>
          </w:rPr>
          <w:t>第七部分</w:t>
        </w:r>
        <w:r w:rsidR="00785047" w:rsidRPr="00785047">
          <w:rPr>
            <w:rStyle w:val="a7"/>
            <w:rFonts w:ascii="Times New Roman" w:eastAsia="黑体" w:hAnsi="Times New Roman" w:cs="Times New Roman"/>
            <w:noProof/>
            <w:sz w:val="30"/>
            <w:szCs w:val="30"/>
          </w:rPr>
          <w:t xml:space="preserve">  </w:t>
        </w:r>
        <w:r w:rsidR="00785047" w:rsidRPr="00785047">
          <w:rPr>
            <w:rStyle w:val="a7"/>
            <w:rFonts w:ascii="Times New Roman" w:eastAsia="黑体" w:hAnsi="Times New Roman" w:cs="Times New Roman"/>
            <w:noProof/>
            <w:sz w:val="30"/>
            <w:szCs w:val="30"/>
          </w:rPr>
          <w:t>存在问题及解决措施</w:t>
        </w:r>
        <w:r w:rsidR="00785047" w:rsidRPr="00785047">
          <w:rPr>
            <w:rStyle w:val="a7"/>
            <w:rFonts w:ascii="Times New Roman" w:eastAsia="黑体" w:hAnsi="Times New Roman" w:cs="Times New Roman"/>
            <w:noProof/>
            <w:webHidden/>
            <w:sz w:val="30"/>
            <w:szCs w:val="30"/>
          </w:rPr>
          <w:tab/>
        </w:r>
        <w:r w:rsidR="00785047" w:rsidRPr="00785047">
          <w:rPr>
            <w:rStyle w:val="a7"/>
            <w:rFonts w:ascii="Times New Roman" w:eastAsia="黑体" w:hAnsi="Times New Roman" w:cs="Times New Roman"/>
            <w:noProof/>
            <w:webHidden/>
            <w:sz w:val="30"/>
            <w:szCs w:val="30"/>
          </w:rPr>
          <w:fldChar w:fldCharType="begin"/>
        </w:r>
        <w:r w:rsidR="00785047" w:rsidRPr="00785047">
          <w:rPr>
            <w:rStyle w:val="a7"/>
            <w:rFonts w:ascii="Times New Roman" w:eastAsia="黑体" w:hAnsi="Times New Roman" w:cs="Times New Roman"/>
            <w:noProof/>
            <w:webHidden/>
            <w:sz w:val="30"/>
            <w:szCs w:val="30"/>
          </w:rPr>
          <w:instrText xml:space="preserve"> PAGEREF _Toc502497590 \h </w:instrText>
        </w:r>
        <w:r w:rsidR="00785047" w:rsidRPr="00785047">
          <w:rPr>
            <w:rStyle w:val="a7"/>
            <w:rFonts w:ascii="Times New Roman" w:eastAsia="黑体" w:hAnsi="Times New Roman" w:cs="Times New Roman"/>
            <w:noProof/>
            <w:webHidden/>
            <w:sz w:val="30"/>
            <w:szCs w:val="30"/>
          </w:rPr>
        </w:r>
        <w:r w:rsidR="00785047" w:rsidRPr="00785047">
          <w:rPr>
            <w:rStyle w:val="a7"/>
            <w:rFonts w:ascii="Times New Roman" w:eastAsia="黑体" w:hAnsi="Times New Roman" w:cs="Times New Roman"/>
            <w:noProof/>
            <w:webHidden/>
            <w:sz w:val="30"/>
            <w:szCs w:val="30"/>
          </w:rPr>
          <w:fldChar w:fldCharType="separate"/>
        </w:r>
        <w:r w:rsidR="0061574B">
          <w:rPr>
            <w:rStyle w:val="a7"/>
            <w:rFonts w:ascii="Times New Roman" w:eastAsia="黑体" w:hAnsi="Times New Roman" w:cs="Times New Roman"/>
            <w:noProof/>
            <w:webHidden/>
            <w:sz w:val="30"/>
            <w:szCs w:val="30"/>
          </w:rPr>
          <w:t>35</w:t>
        </w:r>
        <w:r w:rsidR="00785047" w:rsidRPr="00785047">
          <w:rPr>
            <w:rStyle w:val="a7"/>
            <w:rFonts w:ascii="Times New Roman" w:eastAsia="黑体" w:hAnsi="Times New Roman" w:cs="Times New Roman"/>
            <w:noProof/>
            <w:webHidden/>
            <w:sz w:val="30"/>
            <w:szCs w:val="30"/>
          </w:rPr>
          <w:fldChar w:fldCharType="end"/>
        </w:r>
      </w:hyperlink>
    </w:p>
    <w:p w:rsidR="006459DE" w:rsidRDefault="00242A2A" w:rsidP="00785047">
      <w:pPr>
        <w:spacing w:line="560" w:lineRule="exact"/>
        <w:rPr>
          <w:rFonts w:ascii="仿宋_GB2312" w:eastAsia="仿宋_GB2312" w:hAnsi="Times New Roman" w:cs="Times New Roman"/>
          <w:sz w:val="28"/>
          <w:szCs w:val="28"/>
        </w:rPr>
      </w:pPr>
      <w:r w:rsidRPr="00785047">
        <w:rPr>
          <w:rFonts w:ascii="Times New Roman" w:eastAsia="仿宋" w:hAnsi="Times New Roman" w:cs="Times New Roman"/>
          <w:sz w:val="30"/>
          <w:szCs w:val="30"/>
        </w:rPr>
        <w:fldChar w:fldCharType="end"/>
      </w:r>
    </w:p>
    <w:p w:rsidR="006459DE" w:rsidRDefault="006459DE">
      <w:pPr>
        <w:jc w:val="center"/>
        <w:rPr>
          <w:rFonts w:ascii="方正小标宋简体" w:eastAsia="方正小标宋简体"/>
          <w:sz w:val="36"/>
          <w:szCs w:val="36"/>
        </w:rPr>
      </w:pPr>
    </w:p>
    <w:p w:rsidR="006459DE" w:rsidRDefault="006459DE">
      <w:pPr>
        <w:jc w:val="center"/>
        <w:rPr>
          <w:rFonts w:ascii="方正小标宋简体" w:eastAsia="方正小标宋简体"/>
          <w:sz w:val="36"/>
          <w:szCs w:val="36"/>
        </w:rPr>
        <w:sectPr w:rsidR="006459DE">
          <w:footerReference w:type="default" r:id="rId12"/>
          <w:pgSz w:w="11906" w:h="16838"/>
          <w:pgMar w:top="1701" w:right="1531" w:bottom="1418" w:left="1531" w:header="851" w:footer="992" w:gutter="0"/>
          <w:cols w:space="425"/>
          <w:docGrid w:type="lines" w:linePitch="312"/>
        </w:sectPr>
      </w:pPr>
    </w:p>
    <w:p w:rsidR="006459DE" w:rsidRDefault="00242A2A">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西北农林科技大学</w:t>
      </w:r>
      <w:r>
        <w:rPr>
          <w:rFonts w:ascii="方正小标宋简体" w:eastAsia="方正小标宋简体"/>
          <w:sz w:val="44"/>
          <w:szCs w:val="44"/>
        </w:rPr>
        <w:br/>
      </w:r>
      <w:r>
        <w:rPr>
          <w:rFonts w:ascii="方正小标宋简体" w:eastAsia="方正小标宋简体" w:hint="eastAsia"/>
          <w:sz w:val="44"/>
          <w:szCs w:val="44"/>
        </w:rPr>
        <w:t>2016-2017学年本科教学质量报告</w:t>
      </w:r>
    </w:p>
    <w:p w:rsidR="006459DE" w:rsidRDefault="006459DE">
      <w:pPr>
        <w:jc w:val="center"/>
        <w:rPr>
          <w:rFonts w:ascii="方正小标宋简体" w:eastAsia="方正小标宋简体"/>
          <w:sz w:val="36"/>
          <w:szCs w:val="36"/>
        </w:rPr>
      </w:pP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西北农林科技大学是教育部直属重点大学，也是国家“双一流”建设高校。学校在创建中国特色、世界一流农业大学的进程中，深入学习</w:t>
      </w:r>
      <w:r w:rsidR="000A016C">
        <w:rPr>
          <w:rFonts w:ascii="仿宋_GB2312" w:eastAsia="仿宋_GB2312" w:hAnsi="黑体" w:hint="eastAsia"/>
          <w:sz w:val="30"/>
          <w:szCs w:val="30"/>
        </w:rPr>
        <w:t>领会</w:t>
      </w:r>
      <w:r>
        <w:rPr>
          <w:rFonts w:ascii="仿宋_GB2312" w:eastAsia="仿宋_GB2312" w:hAnsi="黑体" w:hint="eastAsia"/>
          <w:sz w:val="30"/>
          <w:szCs w:val="30"/>
        </w:rPr>
        <w:t xml:space="preserve">习近平总书记系列重要讲话精神，坚决贯彻执行党的教育路线方针政策，认真落实立德树人根本任务，牢固确立本科教学工作中心地位，聚焦一流本科教育，将学科综合优势、科研推广优势、国际合作办学优势转化为人才培养优势，稳定规模、优化结构、注重实效、强化特色，人才培养取得显著成效。 </w:t>
      </w:r>
    </w:p>
    <w:p w:rsidR="006459DE" w:rsidRDefault="00242A2A">
      <w:pPr>
        <w:pStyle w:val="1"/>
        <w:spacing w:before="156" w:after="156"/>
      </w:pPr>
      <w:bookmarkStart w:id="0" w:name="_Toc502497561"/>
      <w:r>
        <w:rPr>
          <w:rFonts w:hint="eastAsia"/>
        </w:rPr>
        <w:t>第一部分</w:t>
      </w:r>
      <w:r>
        <w:rPr>
          <w:rFonts w:hint="eastAsia"/>
        </w:rPr>
        <w:t xml:space="preserve">  </w:t>
      </w:r>
      <w:r>
        <w:rPr>
          <w:rFonts w:hint="eastAsia"/>
        </w:rPr>
        <w:t>本科教育基本情况</w:t>
      </w:r>
      <w:bookmarkEnd w:id="0"/>
    </w:p>
    <w:p w:rsidR="006459DE" w:rsidRDefault="00242A2A">
      <w:pPr>
        <w:pStyle w:val="2"/>
        <w:spacing w:before="62" w:after="62"/>
      </w:pPr>
      <w:bookmarkStart w:id="1" w:name="_Toc502497562"/>
      <w:r>
        <w:rPr>
          <w:rFonts w:hint="eastAsia"/>
        </w:rPr>
        <w:t>1.</w:t>
      </w:r>
      <w:r>
        <w:rPr>
          <w:rFonts w:hint="eastAsia"/>
        </w:rPr>
        <w:t>人才培养目标</w:t>
      </w:r>
      <w:bookmarkEnd w:id="1"/>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根据党的教育方针和国家、区域经济社会发展需求，现代农业、制造业、服务业和其他行业发展对人才培养的要求及学生个性化发展需求，坚持通识教育基础上的宽口径专业教育理念，确定学校本科人才培养的总目标是：农林学科学术精英、创新创业技术领军人才和社会发展管理人才。学院按照学校“厚基础、宽口径、强实践、重创新、高素质、国际化”人才培养思路，结合行业社会需求和自身的学科专业特点，构建了“多元化”专业人才培养目标体系。</w:t>
      </w:r>
    </w:p>
    <w:p w:rsidR="006459DE" w:rsidRDefault="00242A2A">
      <w:pPr>
        <w:pStyle w:val="2"/>
        <w:spacing w:before="62" w:after="62"/>
      </w:pPr>
      <w:bookmarkStart w:id="2" w:name="_Toc502497563"/>
      <w:r>
        <w:rPr>
          <w:rFonts w:hint="eastAsia"/>
        </w:rPr>
        <w:t>2.</w:t>
      </w:r>
      <w:r>
        <w:rPr>
          <w:rFonts w:hint="eastAsia"/>
        </w:rPr>
        <w:t>本科专业设置</w:t>
      </w:r>
      <w:bookmarkEnd w:id="2"/>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学校设有66个本科专业，其中化学生物学为学年内新增专业。专业涵盖农、理、工、管、经、法、文和艺术学等8个学科门类，其中农学14个，理学8个，工学29个，管理学6个，经济学4个，</w:t>
      </w:r>
      <w:r>
        <w:rPr>
          <w:rFonts w:ascii="仿宋_GB2312" w:eastAsia="仿宋_GB2312" w:hAnsi="黑体" w:hint="eastAsia"/>
          <w:spacing w:val="8"/>
          <w:sz w:val="30"/>
          <w:szCs w:val="30"/>
        </w:rPr>
        <w:t>法</w:t>
      </w:r>
      <w:r>
        <w:rPr>
          <w:rFonts w:ascii="仿宋_GB2312" w:eastAsia="仿宋_GB2312" w:hAnsi="黑体" w:hint="eastAsia"/>
          <w:spacing w:val="-6"/>
          <w:sz w:val="30"/>
          <w:szCs w:val="30"/>
        </w:rPr>
        <w:t>学3个，文学1个，艺术学1个。有国家级特色专业建设点1</w:t>
      </w:r>
      <w:r>
        <w:rPr>
          <w:rFonts w:ascii="仿宋_GB2312" w:eastAsia="仿宋_GB2312" w:hAnsi="黑体" w:hint="eastAsia"/>
          <w:sz w:val="30"/>
          <w:szCs w:val="30"/>
        </w:rPr>
        <w:t>2个，省级名牌专业11个，省级特色专业建设点19个，省级专业综合改革试点12个，形成了以优势学科专业为主体，优势特色学科与关联专业良性互动、协同发展的良好态势。</w:t>
      </w:r>
    </w:p>
    <w:p w:rsidR="006459DE" w:rsidRDefault="00242A2A">
      <w:pPr>
        <w:pStyle w:val="3"/>
        <w:spacing w:before="62" w:after="62"/>
      </w:pPr>
      <w:r>
        <w:rPr>
          <w:rFonts w:hint="eastAsia"/>
        </w:rPr>
        <w:t>表1-1  各学科门类专业数量及占比</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753"/>
        <w:gridCol w:w="980"/>
        <w:gridCol w:w="980"/>
        <w:gridCol w:w="980"/>
        <w:gridCol w:w="980"/>
        <w:gridCol w:w="980"/>
        <w:gridCol w:w="980"/>
        <w:gridCol w:w="978"/>
      </w:tblGrid>
      <w:tr w:rsidR="006459DE" w:rsidTr="00785047">
        <w:trPr>
          <w:trHeight w:val="397"/>
          <w:jc w:val="center"/>
        </w:trPr>
        <w:tc>
          <w:tcPr>
            <w:tcW w:w="1449"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学科门类</w:t>
            </w:r>
          </w:p>
        </w:tc>
        <w:tc>
          <w:tcPr>
            <w:tcW w:w="753"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农学</w:t>
            </w:r>
          </w:p>
        </w:tc>
        <w:tc>
          <w:tcPr>
            <w:tcW w:w="980"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理学</w:t>
            </w:r>
          </w:p>
        </w:tc>
        <w:tc>
          <w:tcPr>
            <w:tcW w:w="980"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工学</w:t>
            </w:r>
          </w:p>
        </w:tc>
        <w:tc>
          <w:tcPr>
            <w:tcW w:w="980"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管理学</w:t>
            </w:r>
          </w:p>
        </w:tc>
        <w:tc>
          <w:tcPr>
            <w:tcW w:w="980"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经济学</w:t>
            </w:r>
          </w:p>
        </w:tc>
        <w:tc>
          <w:tcPr>
            <w:tcW w:w="980"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法学</w:t>
            </w:r>
          </w:p>
        </w:tc>
        <w:tc>
          <w:tcPr>
            <w:tcW w:w="980"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文学</w:t>
            </w:r>
          </w:p>
        </w:tc>
        <w:tc>
          <w:tcPr>
            <w:tcW w:w="978" w:type="dxa"/>
            <w:shd w:val="clear" w:color="auto" w:fill="B6DDE8"/>
            <w:vAlign w:val="center"/>
          </w:tcPr>
          <w:p w:rsidR="006459DE" w:rsidRDefault="00242A2A">
            <w:pPr>
              <w:topLinePunct/>
              <w:jc w:val="center"/>
              <w:rPr>
                <w:rFonts w:ascii="Times New Roman" w:hAnsi="Times New Roman"/>
                <w:b/>
                <w:iCs/>
                <w:szCs w:val="21"/>
              </w:rPr>
            </w:pPr>
            <w:r>
              <w:rPr>
                <w:rFonts w:ascii="Times New Roman" w:hAnsi="Times New Roman" w:hint="eastAsia"/>
                <w:b/>
                <w:iCs/>
                <w:szCs w:val="21"/>
              </w:rPr>
              <w:t>艺术学</w:t>
            </w:r>
          </w:p>
        </w:tc>
      </w:tr>
      <w:tr w:rsidR="006459DE" w:rsidTr="00785047">
        <w:trPr>
          <w:trHeight w:val="397"/>
          <w:jc w:val="center"/>
        </w:trPr>
        <w:tc>
          <w:tcPr>
            <w:tcW w:w="1449"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专业数量</w:t>
            </w:r>
          </w:p>
        </w:tc>
        <w:tc>
          <w:tcPr>
            <w:tcW w:w="753"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14</w:t>
            </w:r>
          </w:p>
        </w:tc>
        <w:tc>
          <w:tcPr>
            <w:tcW w:w="980"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8</w:t>
            </w:r>
          </w:p>
        </w:tc>
        <w:tc>
          <w:tcPr>
            <w:tcW w:w="980"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29</w:t>
            </w:r>
          </w:p>
        </w:tc>
        <w:tc>
          <w:tcPr>
            <w:tcW w:w="980"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6</w:t>
            </w:r>
          </w:p>
        </w:tc>
        <w:tc>
          <w:tcPr>
            <w:tcW w:w="980"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4</w:t>
            </w:r>
          </w:p>
        </w:tc>
        <w:tc>
          <w:tcPr>
            <w:tcW w:w="980"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3</w:t>
            </w:r>
          </w:p>
        </w:tc>
        <w:tc>
          <w:tcPr>
            <w:tcW w:w="980"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1</w:t>
            </w:r>
          </w:p>
        </w:tc>
        <w:tc>
          <w:tcPr>
            <w:tcW w:w="978" w:type="dxa"/>
            <w:tcBorders>
              <w:bottom w:val="single" w:sz="4" w:space="0" w:color="auto"/>
            </w:tcBorders>
            <w:shd w:val="clear" w:color="auto" w:fill="auto"/>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1</w:t>
            </w:r>
          </w:p>
        </w:tc>
      </w:tr>
      <w:tr w:rsidR="006459DE" w:rsidTr="00785047">
        <w:trPr>
          <w:trHeight w:val="397"/>
          <w:jc w:val="center"/>
        </w:trPr>
        <w:tc>
          <w:tcPr>
            <w:tcW w:w="1449"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所占比例（</w:t>
            </w:r>
            <w:r>
              <w:rPr>
                <w:rFonts w:ascii="Times New Roman" w:hAnsi="Times New Roman" w:cs="Times New Roman" w:hint="eastAsia"/>
                <w:bCs/>
                <w:iCs/>
                <w:sz w:val="21"/>
                <w:szCs w:val="21"/>
              </w:rPr>
              <w:t>%</w:t>
            </w:r>
            <w:r>
              <w:rPr>
                <w:rFonts w:ascii="Times New Roman" w:hAnsi="Times New Roman" w:cs="Times New Roman" w:hint="eastAsia"/>
                <w:bCs/>
                <w:iCs/>
                <w:sz w:val="21"/>
                <w:szCs w:val="21"/>
              </w:rPr>
              <w:t>）</w:t>
            </w:r>
          </w:p>
        </w:tc>
        <w:tc>
          <w:tcPr>
            <w:tcW w:w="753"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21.21</w:t>
            </w:r>
          </w:p>
        </w:tc>
        <w:tc>
          <w:tcPr>
            <w:tcW w:w="980"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12.12</w:t>
            </w:r>
          </w:p>
        </w:tc>
        <w:tc>
          <w:tcPr>
            <w:tcW w:w="980"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43.94</w:t>
            </w:r>
          </w:p>
        </w:tc>
        <w:tc>
          <w:tcPr>
            <w:tcW w:w="980"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9.09</w:t>
            </w:r>
          </w:p>
        </w:tc>
        <w:tc>
          <w:tcPr>
            <w:tcW w:w="980"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6.05</w:t>
            </w:r>
          </w:p>
        </w:tc>
        <w:tc>
          <w:tcPr>
            <w:tcW w:w="980"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4.55</w:t>
            </w:r>
          </w:p>
        </w:tc>
        <w:tc>
          <w:tcPr>
            <w:tcW w:w="980"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1.52</w:t>
            </w:r>
          </w:p>
        </w:tc>
        <w:tc>
          <w:tcPr>
            <w:tcW w:w="978" w:type="dxa"/>
            <w:shd w:val="clear" w:color="auto" w:fill="DAEEF3"/>
            <w:vAlign w:val="center"/>
          </w:tcPr>
          <w:p w:rsidR="006459DE" w:rsidRDefault="00242A2A">
            <w:pPr>
              <w:pStyle w:val="a6"/>
              <w:widowControl/>
              <w:topLinePunct/>
              <w:spacing w:before="0" w:beforeAutospacing="0" w:after="0" w:afterAutospacing="0"/>
              <w:jc w:val="center"/>
              <w:rPr>
                <w:rFonts w:ascii="Times New Roman" w:hAnsi="Times New Roman" w:cs="Times New Roman"/>
                <w:bCs/>
                <w:iCs/>
                <w:sz w:val="21"/>
                <w:szCs w:val="21"/>
              </w:rPr>
            </w:pPr>
            <w:r>
              <w:rPr>
                <w:rFonts w:ascii="Times New Roman" w:hAnsi="Times New Roman" w:cs="Times New Roman" w:hint="eastAsia"/>
                <w:bCs/>
                <w:iCs/>
                <w:sz w:val="21"/>
                <w:szCs w:val="21"/>
              </w:rPr>
              <w:t>1.52</w:t>
            </w:r>
          </w:p>
        </w:tc>
      </w:tr>
    </w:tbl>
    <w:p w:rsidR="006459DE" w:rsidRDefault="00242A2A">
      <w:pPr>
        <w:pStyle w:val="2"/>
        <w:spacing w:before="62" w:after="62"/>
      </w:pPr>
      <w:bookmarkStart w:id="3" w:name="_Toc502497564"/>
      <w:r>
        <w:rPr>
          <w:rFonts w:hint="eastAsia"/>
        </w:rPr>
        <w:t>3.</w:t>
      </w:r>
      <w:r>
        <w:rPr>
          <w:rFonts w:hint="eastAsia"/>
        </w:rPr>
        <w:t>学生规模</w:t>
      </w:r>
      <w:bookmarkEnd w:id="3"/>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有全日制在校生28,944人，其中本科生20,927人、硕士研究生5,762人、博士研究生1,857人和留学生125人，分别占全日制在校生总数的72.3%、19.91%、6.42%和0.43%，全日制在校生折合数占全校折合在校生数98.03%。非全日制成人教育学生6</w:t>
      </w:r>
      <w:r w:rsidR="00DE273D">
        <w:rPr>
          <w:rFonts w:ascii="仿宋_GB2312" w:eastAsia="仿宋_GB2312" w:hAnsi="黑体" w:hint="eastAsia"/>
          <w:sz w:val="30"/>
          <w:szCs w:val="30"/>
        </w:rPr>
        <w:t>,</w:t>
      </w:r>
      <w:r>
        <w:rPr>
          <w:rFonts w:ascii="仿宋_GB2312" w:eastAsia="仿宋_GB2312" w:hAnsi="黑体" w:hint="eastAsia"/>
          <w:sz w:val="30"/>
          <w:szCs w:val="30"/>
        </w:rPr>
        <w:t>876人，占全校折合在校生数的1.97%。</w:t>
      </w:r>
    </w:p>
    <w:p w:rsidR="006459DE" w:rsidRDefault="00242A2A">
      <w:pPr>
        <w:pStyle w:val="3"/>
        <w:spacing w:before="62" w:after="62"/>
      </w:pPr>
      <w:r>
        <w:t>表</w:t>
      </w:r>
      <w:r>
        <w:rPr>
          <w:rFonts w:hint="eastAsia"/>
        </w:rPr>
        <w:t>1-2  各类</w:t>
      </w:r>
      <w:r>
        <w:t>学生</w:t>
      </w:r>
      <w:r>
        <w:rPr>
          <w:rFonts w:hint="eastAsia"/>
        </w:rPr>
        <w:t>人</w:t>
      </w:r>
      <w:r>
        <w:t>数</w:t>
      </w:r>
      <w:r>
        <w:rPr>
          <w:rFonts w:hint="eastAsia"/>
        </w:rPr>
        <w:t>及</w:t>
      </w:r>
      <w:r>
        <w:t>占比</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3"/>
        <w:gridCol w:w="1384"/>
        <w:gridCol w:w="1181"/>
        <w:gridCol w:w="1812"/>
        <w:gridCol w:w="1810"/>
      </w:tblGrid>
      <w:tr w:rsidR="006459DE" w:rsidTr="00785047">
        <w:trPr>
          <w:trHeight w:val="397"/>
          <w:tblHeader/>
        </w:trPr>
        <w:tc>
          <w:tcPr>
            <w:tcW w:w="2873" w:type="dxa"/>
            <w:shd w:val="clear" w:color="auto" w:fill="FABF8F"/>
            <w:vAlign w:val="center"/>
          </w:tcPr>
          <w:p w:rsidR="006459DE" w:rsidRDefault="00242A2A">
            <w:pPr>
              <w:topLinePunct/>
              <w:spacing w:line="240" w:lineRule="exact"/>
              <w:jc w:val="center"/>
              <w:rPr>
                <w:rFonts w:ascii="Times New Roman" w:hAnsi="Times New Roman"/>
                <w:b/>
                <w:iCs/>
                <w:szCs w:val="21"/>
              </w:rPr>
            </w:pPr>
            <w:r>
              <w:rPr>
                <w:rFonts w:ascii="Times New Roman" w:hAnsi="Times New Roman"/>
                <w:b/>
                <w:iCs/>
                <w:szCs w:val="21"/>
              </w:rPr>
              <w:t>类别</w:t>
            </w:r>
          </w:p>
        </w:tc>
        <w:tc>
          <w:tcPr>
            <w:tcW w:w="1384" w:type="dxa"/>
            <w:shd w:val="clear" w:color="auto" w:fill="FABF8F"/>
            <w:vAlign w:val="center"/>
          </w:tcPr>
          <w:p w:rsidR="006459DE" w:rsidRDefault="00242A2A">
            <w:pPr>
              <w:topLinePunct/>
              <w:spacing w:line="240" w:lineRule="exact"/>
              <w:jc w:val="center"/>
              <w:rPr>
                <w:rFonts w:ascii="Times New Roman" w:hAnsi="Times New Roman"/>
                <w:b/>
                <w:iCs/>
                <w:szCs w:val="21"/>
              </w:rPr>
            </w:pPr>
            <w:r>
              <w:rPr>
                <w:rFonts w:ascii="Times New Roman" w:hAnsi="Times New Roman" w:hint="eastAsia"/>
                <w:b/>
                <w:iCs/>
                <w:szCs w:val="21"/>
              </w:rPr>
              <w:t>实际</w:t>
            </w:r>
            <w:r>
              <w:rPr>
                <w:rFonts w:ascii="Times New Roman" w:hAnsi="Times New Roman"/>
                <w:b/>
                <w:iCs/>
                <w:szCs w:val="21"/>
              </w:rPr>
              <w:t>人数</w:t>
            </w:r>
          </w:p>
        </w:tc>
        <w:tc>
          <w:tcPr>
            <w:tcW w:w="1181" w:type="dxa"/>
            <w:shd w:val="clear" w:color="auto" w:fill="FABF8F"/>
            <w:vAlign w:val="center"/>
          </w:tcPr>
          <w:p w:rsidR="006459DE" w:rsidRDefault="00242A2A">
            <w:pPr>
              <w:topLinePunct/>
              <w:spacing w:line="240" w:lineRule="exact"/>
              <w:jc w:val="center"/>
              <w:rPr>
                <w:rFonts w:ascii="Times New Roman" w:hAnsi="Times New Roman"/>
                <w:b/>
                <w:iCs/>
                <w:szCs w:val="21"/>
              </w:rPr>
            </w:pPr>
            <w:r>
              <w:rPr>
                <w:rFonts w:ascii="Times New Roman" w:hAnsi="Times New Roman"/>
                <w:b/>
                <w:iCs/>
                <w:szCs w:val="21"/>
              </w:rPr>
              <w:t>折合</w:t>
            </w:r>
            <w:r>
              <w:rPr>
                <w:rFonts w:ascii="Times New Roman" w:hAnsi="Times New Roman" w:hint="eastAsia"/>
                <w:b/>
                <w:iCs/>
                <w:szCs w:val="21"/>
              </w:rPr>
              <w:t>人</w:t>
            </w:r>
            <w:r>
              <w:rPr>
                <w:rFonts w:ascii="Times New Roman" w:hAnsi="Times New Roman"/>
                <w:b/>
                <w:iCs/>
                <w:szCs w:val="21"/>
              </w:rPr>
              <w:t>数</w:t>
            </w:r>
          </w:p>
        </w:tc>
        <w:tc>
          <w:tcPr>
            <w:tcW w:w="1812" w:type="dxa"/>
            <w:shd w:val="clear" w:color="auto" w:fill="FABF8F"/>
            <w:vAlign w:val="center"/>
          </w:tcPr>
          <w:p w:rsidR="006459DE" w:rsidRDefault="00242A2A">
            <w:pPr>
              <w:topLinePunct/>
              <w:spacing w:line="240" w:lineRule="exact"/>
              <w:jc w:val="center"/>
              <w:rPr>
                <w:rFonts w:ascii="Times New Roman" w:hAnsi="Times New Roman"/>
                <w:b/>
                <w:iCs/>
                <w:szCs w:val="21"/>
              </w:rPr>
            </w:pPr>
            <w:r>
              <w:rPr>
                <w:rFonts w:ascii="Times New Roman" w:hAnsi="Times New Roman" w:hint="eastAsia"/>
                <w:b/>
                <w:iCs/>
                <w:szCs w:val="21"/>
              </w:rPr>
              <w:t>所占</w:t>
            </w:r>
            <w:r>
              <w:rPr>
                <w:rFonts w:ascii="Times New Roman" w:hAnsi="Times New Roman"/>
                <w:b/>
                <w:iCs/>
                <w:szCs w:val="21"/>
              </w:rPr>
              <w:t>比例</w:t>
            </w:r>
            <w:r>
              <w:rPr>
                <w:rFonts w:ascii="Times New Roman" w:hAnsi="Times New Roman" w:hint="eastAsia"/>
                <w:b/>
                <w:iCs/>
                <w:szCs w:val="21"/>
              </w:rPr>
              <w:t>%</w:t>
            </w:r>
          </w:p>
          <w:p w:rsidR="006459DE" w:rsidRDefault="00242A2A">
            <w:pPr>
              <w:topLinePunct/>
              <w:spacing w:line="240" w:lineRule="exact"/>
              <w:jc w:val="center"/>
              <w:rPr>
                <w:rFonts w:ascii="Times New Roman" w:hAnsi="Times New Roman"/>
                <w:b/>
                <w:iCs/>
                <w:szCs w:val="21"/>
              </w:rPr>
            </w:pPr>
            <w:r>
              <w:rPr>
                <w:rFonts w:ascii="Times New Roman" w:hAnsi="Times New Roman"/>
                <w:b/>
                <w:iCs/>
                <w:szCs w:val="21"/>
              </w:rPr>
              <w:t>（</w:t>
            </w:r>
            <w:r>
              <w:rPr>
                <w:rFonts w:ascii="Times New Roman" w:hAnsi="Times New Roman" w:hint="eastAsia"/>
                <w:b/>
                <w:iCs/>
                <w:szCs w:val="21"/>
              </w:rPr>
              <w:t>占全日制在</w:t>
            </w:r>
            <w:r>
              <w:rPr>
                <w:rFonts w:ascii="Times New Roman" w:hAnsi="Times New Roman"/>
                <w:b/>
                <w:iCs/>
                <w:szCs w:val="21"/>
              </w:rPr>
              <w:t>校生实际</w:t>
            </w:r>
            <w:r>
              <w:rPr>
                <w:rFonts w:ascii="Times New Roman" w:hAnsi="Times New Roman" w:hint="eastAsia"/>
                <w:b/>
                <w:iCs/>
                <w:szCs w:val="21"/>
              </w:rPr>
              <w:t>人</w:t>
            </w:r>
            <w:r>
              <w:rPr>
                <w:rFonts w:ascii="Times New Roman" w:hAnsi="Times New Roman"/>
                <w:b/>
                <w:iCs/>
                <w:szCs w:val="21"/>
              </w:rPr>
              <w:t>数）</w:t>
            </w:r>
          </w:p>
        </w:tc>
        <w:tc>
          <w:tcPr>
            <w:tcW w:w="1810" w:type="dxa"/>
            <w:shd w:val="clear" w:color="auto" w:fill="FABF8F"/>
            <w:vAlign w:val="center"/>
          </w:tcPr>
          <w:p w:rsidR="006459DE" w:rsidRDefault="00242A2A">
            <w:pPr>
              <w:topLinePunct/>
              <w:spacing w:line="240" w:lineRule="exact"/>
              <w:jc w:val="center"/>
              <w:rPr>
                <w:rFonts w:ascii="Times New Roman" w:hAnsi="Times New Roman"/>
                <w:b/>
                <w:iCs/>
                <w:szCs w:val="21"/>
              </w:rPr>
            </w:pPr>
            <w:r>
              <w:rPr>
                <w:rFonts w:ascii="Times New Roman" w:hAnsi="Times New Roman" w:hint="eastAsia"/>
                <w:b/>
                <w:iCs/>
                <w:szCs w:val="21"/>
              </w:rPr>
              <w:t>所占</w:t>
            </w:r>
            <w:r>
              <w:rPr>
                <w:rFonts w:ascii="Times New Roman" w:hAnsi="Times New Roman"/>
                <w:b/>
                <w:iCs/>
                <w:szCs w:val="21"/>
              </w:rPr>
              <w:t>比例</w:t>
            </w:r>
            <w:r>
              <w:rPr>
                <w:rFonts w:ascii="Times New Roman" w:hAnsi="Times New Roman" w:hint="eastAsia"/>
                <w:b/>
                <w:iCs/>
                <w:szCs w:val="21"/>
              </w:rPr>
              <w:t>%</w:t>
            </w:r>
          </w:p>
          <w:p w:rsidR="006459DE" w:rsidRDefault="00242A2A">
            <w:pPr>
              <w:topLinePunct/>
              <w:spacing w:line="240" w:lineRule="exact"/>
              <w:jc w:val="center"/>
              <w:rPr>
                <w:rFonts w:ascii="Times New Roman" w:hAnsi="Times New Roman"/>
                <w:b/>
                <w:iCs/>
                <w:szCs w:val="21"/>
              </w:rPr>
            </w:pPr>
            <w:r>
              <w:rPr>
                <w:rFonts w:ascii="Times New Roman" w:hAnsi="Times New Roman"/>
                <w:b/>
                <w:iCs/>
                <w:szCs w:val="21"/>
              </w:rPr>
              <w:t>（</w:t>
            </w:r>
            <w:r>
              <w:rPr>
                <w:rFonts w:ascii="Times New Roman" w:hAnsi="Times New Roman" w:hint="eastAsia"/>
                <w:b/>
                <w:iCs/>
                <w:szCs w:val="21"/>
              </w:rPr>
              <w:t>占</w:t>
            </w:r>
            <w:r>
              <w:rPr>
                <w:rFonts w:ascii="Times New Roman" w:hAnsi="Times New Roman"/>
                <w:b/>
                <w:iCs/>
                <w:szCs w:val="21"/>
              </w:rPr>
              <w:t>折合</w:t>
            </w:r>
            <w:r>
              <w:rPr>
                <w:rFonts w:ascii="Times New Roman" w:hAnsi="Times New Roman" w:hint="eastAsia"/>
                <w:b/>
                <w:iCs/>
                <w:szCs w:val="21"/>
              </w:rPr>
              <w:t>人</w:t>
            </w:r>
            <w:r>
              <w:rPr>
                <w:rFonts w:ascii="Times New Roman" w:hAnsi="Times New Roman"/>
                <w:b/>
                <w:iCs/>
                <w:szCs w:val="21"/>
              </w:rPr>
              <w:t>数）</w:t>
            </w:r>
          </w:p>
        </w:tc>
      </w:tr>
      <w:tr w:rsidR="006459DE" w:rsidTr="00785047">
        <w:trPr>
          <w:trHeight w:val="397"/>
        </w:trPr>
        <w:tc>
          <w:tcPr>
            <w:tcW w:w="2873" w:type="dxa"/>
            <w:vAlign w:val="center"/>
          </w:tcPr>
          <w:p w:rsidR="006459DE" w:rsidRDefault="00242A2A">
            <w:pPr>
              <w:topLinePunct/>
              <w:jc w:val="center"/>
              <w:rPr>
                <w:rFonts w:ascii="Times New Roman" w:hAnsi="Times New Roman"/>
                <w:bCs/>
                <w:iCs/>
                <w:szCs w:val="21"/>
              </w:rPr>
            </w:pPr>
            <w:r>
              <w:rPr>
                <w:rFonts w:ascii="Times New Roman" w:hAnsi="Times New Roman"/>
                <w:bCs/>
                <w:iCs/>
                <w:szCs w:val="21"/>
              </w:rPr>
              <w:t>普通本科生</w:t>
            </w:r>
            <w:r>
              <w:rPr>
                <w:rFonts w:ascii="Times New Roman" w:hAnsi="Times New Roman"/>
                <w:bCs/>
                <w:szCs w:val="21"/>
              </w:rPr>
              <w:t>（全日制）</w:t>
            </w:r>
          </w:p>
        </w:tc>
        <w:tc>
          <w:tcPr>
            <w:tcW w:w="1384" w:type="dxa"/>
            <w:vAlign w:val="center"/>
          </w:tcPr>
          <w:p w:rsidR="006459DE" w:rsidRDefault="00242A2A">
            <w:pPr>
              <w:jc w:val="center"/>
              <w:rPr>
                <w:rFonts w:ascii="Times New Roman" w:hAnsi="Times New Roman"/>
                <w:szCs w:val="21"/>
              </w:rPr>
            </w:pPr>
            <w:r>
              <w:rPr>
                <w:rFonts w:ascii="Times New Roman" w:hAnsi="Times New Roman"/>
                <w:szCs w:val="21"/>
              </w:rPr>
              <w:t>2</w:t>
            </w:r>
            <w:r>
              <w:rPr>
                <w:rFonts w:ascii="Times New Roman" w:hAnsi="Times New Roman" w:hint="eastAsia"/>
                <w:szCs w:val="21"/>
              </w:rPr>
              <w:t>0</w:t>
            </w:r>
            <w:r>
              <w:rPr>
                <w:rFonts w:ascii="Times New Roman" w:hAnsi="Times New Roman"/>
                <w:szCs w:val="21"/>
              </w:rPr>
              <w:t>,</w:t>
            </w:r>
            <w:r>
              <w:rPr>
                <w:rFonts w:ascii="Times New Roman" w:hAnsi="Times New Roman" w:hint="eastAsia"/>
                <w:szCs w:val="21"/>
              </w:rPr>
              <w:t>927</w:t>
            </w:r>
          </w:p>
        </w:tc>
        <w:tc>
          <w:tcPr>
            <w:tcW w:w="1181" w:type="dxa"/>
            <w:vAlign w:val="center"/>
          </w:tcPr>
          <w:p w:rsidR="006459DE" w:rsidRDefault="00242A2A">
            <w:pPr>
              <w:jc w:val="center"/>
              <w:rPr>
                <w:rFonts w:ascii="Times New Roman" w:hAnsi="Times New Roman"/>
                <w:szCs w:val="21"/>
              </w:rPr>
            </w:pPr>
            <w:r>
              <w:rPr>
                <w:rFonts w:ascii="Times New Roman" w:hAnsi="Times New Roman"/>
                <w:szCs w:val="21"/>
              </w:rPr>
              <w:t>20,927</w:t>
            </w:r>
          </w:p>
        </w:tc>
        <w:tc>
          <w:tcPr>
            <w:tcW w:w="1812" w:type="dxa"/>
            <w:vAlign w:val="center"/>
          </w:tcPr>
          <w:p w:rsidR="006459DE" w:rsidRDefault="00242A2A">
            <w:pPr>
              <w:jc w:val="center"/>
              <w:rPr>
                <w:rFonts w:ascii="Times New Roman" w:hAnsi="Times New Roman"/>
                <w:szCs w:val="21"/>
              </w:rPr>
            </w:pPr>
            <w:r>
              <w:rPr>
                <w:rFonts w:ascii="Times New Roman" w:hAnsi="Times New Roman" w:hint="eastAsia"/>
                <w:szCs w:val="21"/>
              </w:rPr>
              <w:t>72.3</w:t>
            </w:r>
          </w:p>
        </w:tc>
        <w:tc>
          <w:tcPr>
            <w:tcW w:w="1810" w:type="dxa"/>
            <w:vAlign w:val="center"/>
          </w:tcPr>
          <w:p w:rsidR="006459DE" w:rsidRDefault="00242A2A">
            <w:pPr>
              <w:jc w:val="center"/>
              <w:rPr>
                <w:rFonts w:ascii="Times New Roman" w:hAnsi="Times New Roman"/>
                <w:szCs w:val="21"/>
              </w:rPr>
            </w:pPr>
            <w:r>
              <w:rPr>
                <w:rFonts w:ascii="Times New Roman" w:hAnsi="Times New Roman" w:hint="eastAsia"/>
                <w:szCs w:val="21"/>
              </w:rPr>
              <w:t>59.94</w:t>
            </w:r>
          </w:p>
        </w:tc>
      </w:tr>
      <w:tr w:rsidR="006459DE" w:rsidTr="00785047">
        <w:trPr>
          <w:trHeight w:val="397"/>
        </w:trPr>
        <w:tc>
          <w:tcPr>
            <w:tcW w:w="2873" w:type="dxa"/>
            <w:vAlign w:val="center"/>
          </w:tcPr>
          <w:p w:rsidR="006459DE" w:rsidRDefault="00242A2A">
            <w:pPr>
              <w:topLinePunct/>
              <w:jc w:val="center"/>
              <w:rPr>
                <w:rFonts w:ascii="Times New Roman" w:hAnsi="Times New Roman"/>
                <w:bCs/>
                <w:iCs/>
                <w:szCs w:val="21"/>
              </w:rPr>
            </w:pPr>
            <w:r>
              <w:rPr>
                <w:rFonts w:ascii="Times New Roman" w:hAnsi="Times New Roman" w:hint="eastAsia"/>
                <w:bCs/>
                <w:iCs/>
                <w:szCs w:val="21"/>
              </w:rPr>
              <w:t>普通高职（含专科）</w:t>
            </w:r>
          </w:p>
        </w:tc>
        <w:tc>
          <w:tcPr>
            <w:tcW w:w="1384" w:type="dxa"/>
            <w:vAlign w:val="center"/>
          </w:tcPr>
          <w:p w:rsidR="006459DE" w:rsidRDefault="00242A2A">
            <w:pPr>
              <w:jc w:val="center"/>
              <w:rPr>
                <w:rFonts w:ascii="Times New Roman" w:hAnsi="Times New Roman"/>
                <w:szCs w:val="21"/>
              </w:rPr>
            </w:pPr>
            <w:r>
              <w:rPr>
                <w:rFonts w:ascii="Times New Roman" w:hAnsi="Times New Roman" w:hint="eastAsia"/>
                <w:szCs w:val="21"/>
              </w:rPr>
              <w:t>125</w:t>
            </w:r>
          </w:p>
        </w:tc>
        <w:tc>
          <w:tcPr>
            <w:tcW w:w="1181" w:type="dxa"/>
            <w:vAlign w:val="center"/>
          </w:tcPr>
          <w:p w:rsidR="006459DE" w:rsidRDefault="00242A2A">
            <w:pPr>
              <w:jc w:val="center"/>
              <w:rPr>
                <w:rFonts w:ascii="Times New Roman" w:hAnsi="Times New Roman"/>
                <w:szCs w:val="21"/>
              </w:rPr>
            </w:pPr>
            <w:r>
              <w:rPr>
                <w:rFonts w:ascii="Times New Roman" w:hAnsi="Times New Roman"/>
                <w:szCs w:val="21"/>
              </w:rPr>
              <w:t>125</w:t>
            </w:r>
          </w:p>
        </w:tc>
        <w:tc>
          <w:tcPr>
            <w:tcW w:w="1812" w:type="dxa"/>
            <w:vAlign w:val="center"/>
          </w:tcPr>
          <w:p w:rsidR="006459DE" w:rsidRDefault="00242A2A">
            <w:pPr>
              <w:jc w:val="center"/>
              <w:rPr>
                <w:rFonts w:ascii="Times New Roman" w:hAnsi="Times New Roman"/>
                <w:szCs w:val="21"/>
              </w:rPr>
            </w:pPr>
            <w:r>
              <w:rPr>
                <w:rFonts w:ascii="Times New Roman" w:hAnsi="Times New Roman" w:hint="eastAsia"/>
                <w:szCs w:val="21"/>
              </w:rPr>
              <w:t>0.43</w:t>
            </w:r>
          </w:p>
        </w:tc>
        <w:tc>
          <w:tcPr>
            <w:tcW w:w="1810" w:type="dxa"/>
            <w:vAlign w:val="center"/>
          </w:tcPr>
          <w:p w:rsidR="006459DE" w:rsidRDefault="00242A2A">
            <w:pPr>
              <w:jc w:val="center"/>
              <w:rPr>
                <w:rFonts w:ascii="Times New Roman" w:hAnsi="Times New Roman"/>
                <w:szCs w:val="21"/>
              </w:rPr>
            </w:pPr>
            <w:r>
              <w:rPr>
                <w:rFonts w:ascii="Times New Roman" w:hAnsi="Times New Roman" w:hint="eastAsia"/>
                <w:szCs w:val="21"/>
              </w:rPr>
              <w:t>0.36</w:t>
            </w:r>
          </w:p>
        </w:tc>
      </w:tr>
      <w:tr w:rsidR="006459DE" w:rsidTr="00785047">
        <w:trPr>
          <w:trHeight w:val="397"/>
        </w:trPr>
        <w:tc>
          <w:tcPr>
            <w:tcW w:w="2873" w:type="dxa"/>
            <w:shd w:val="clear" w:color="auto" w:fill="FDE9D9"/>
            <w:vAlign w:val="center"/>
          </w:tcPr>
          <w:p w:rsidR="006459DE" w:rsidRDefault="00242A2A">
            <w:pPr>
              <w:topLinePunct/>
              <w:jc w:val="center"/>
              <w:rPr>
                <w:rFonts w:ascii="Times New Roman" w:hAnsi="Times New Roman"/>
                <w:bCs/>
                <w:szCs w:val="21"/>
              </w:rPr>
            </w:pPr>
            <w:r>
              <w:rPr>
                <w:rFonts w:ascii="Times New Roman" w:hAnsi="Times New Roman"/>
                <w:bCs/>
                <w:szCs w:val="21"/>
              </w:rPr>
              <w:t>硕士研究生（全日制）</w:t>
            </w:r>
          </w:p>
        </w:tc>
        <w:tc>
          <w:tcPr>
            <w:tcW w:w="1384" w:type="dxa"/>
            <w:shd w:val="clear" w:color="auto" w:fill="FDE9D9"/>
            <w:vAlign w:val="center"/>
          </w:tcPr>
          <w:p w:rsidR="006459DE" w:rsidRDefault="00242A2A">
            <w:pPr>
              <w:jc w:val="center"/>
              <w:rPr>
                <w:rFonts w:ascii="Times New Roman" w:hAnsi="Times New Roman"/>
                <w:szCs w:val="21"/>
              </w:rPr>
            </w:pPr>
            <w:r>
              <w:rPr>
                <w:rFonts w:ascii="Times New Roman" w:hAnsi="Times New Roman"/>
                <w:szCs w:val="21"/>
              </w:rPr>
              <w:t>5,</w:t>
            </w:r>
            <w:r>
              <w:rPr>
                <w:rFonts w:ascii="Times New Roman" w:hAnsi="Times New Roman" w:hint="eastAsia"/>
                <w:szCs w:val="21"/>
              </w:rPr>
              <w:t>762</w:t>
            </w:r>
          </w:p>
        </w:tc>
        <w:tc>
          <w:tcPr>
            <w:tcW w:w="1181"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8,643</w:t>
            </w:r>
          </w:p>
        </w:tc>
        <w:tc>
          <w:tcPr>
            <w:tcW w:w="1812"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19.91</w:t>
            </w:r>
          </w:p>
        </w:tc>
        <w:tc>
          <w:tcPr>
            <w:tcW w:w="1810"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24.75</w:t>
            </w:r>
          </w:p>
        </w:tc>
      </w:tr>
      <w:tr w:rsidR="006459DE" w:rsidTr="00785047">
        <w:trPr>
          <w:trHeight w:val="397"/>
        </w:trPr>
        <w:tc>
          <w:tcPr>
            <w:tcW w:w="2873" w:type="dxa"/>
            <w:vAlign w:val="center"/>
          </w:tcPr>
          <w:p w:rsidR="006459DE" w:rsidRDefault="00242A2A">
            <w:pPr>
              <w:topLinePunct/>
              <w:jc w:val="center"/>
              <w:rPr>
                <w:rFonts w:ascii="Times New Roman" w:hAnsi="Times New Roman"/>
                <w:bCs/>
                <w:szCs w:val="21"/>
              </w:rPr>
            </w:pPr>
            <w:r>
              <w:rPr>
                <w:rFonts w:ascii="Times New Roman" w:hAnsi="Times New Roman"/>
                <w:bCs/>
                <w:szCs w:val="21"/>
              </w:rPr>
              <w:t>博士研究生（全</w:t>
            </w:r>
            <w:r>
              <w:rPr>
                <w:rFonts w:ascii="Times New Roman" w:hAnsi="Times New Roman" w:hint="eastAsia"/>
                <w:bCs/>
                <w:szCs w:val="21"/>
              </w:rPr>
              <w:t>日制）</w:t>
            </w:r>
          </w:p>
        </w:tc>
        <w:tc>
          <w:tcPr>
            <w:tcW w:w="1384" w:type="dxa"/>
            <w:vAlign w:val="center"/>
          </w:tcPr>
          <w:p w:rsidR="006459DE" w:rsidRDefault="00242A2A">
            <w:pPr>
              <w:jc w:val="center"/>
              <w:rPr>
                <w:rFonts w:ascii="Times New Roman" w:hAnsi="Times New Roman"/>
                <w:szCs w:val="21"/>
              </w:rPr>
            </w:pPr>
            <w:r>
              <w:rPr>
                <w:rFonts w:ascii="Times New Roman" w:hAnsi="Times New Roman"/>
                <w:szCs w:val="21"/>
              </w:rPr>
              <w:t>1,8</w:t>
            </w:r>
            <w:r>
              <w:rPr>
                <w:rFonts w:ascii="Times New Roman" w:hAnsi="Times New Roman" w:hint="eastAsia"/>
                <w:szCs w:val="21"/>
              </w:rPr>
              <w:t>57</w:t>
            </w:r>
          </w:p>
        </w:tc>
        <w:tc>
          <w:tcPr>
            <w:tcW w:w="1181" w:type="dxa"/>
            <w:vAlign w:val="center"/>
          </w:tcPr>
          <w:p w:rsidR="006459DE" w:rsidRDefault="00242A2A">
            <w:pPr>
              <w:jc w:val="center"/>
              <w:rPr>
                <w:rFonts w:ascii="Times New Roman" w:hAnsi="Times New Roman"/>
                <w:szCs w:val="21"/>
              </w:rPr>
            </w:pPr>
            <w:r>
              <w:rPr>
                <w:rFonts w:ascii="Times New Roman" w:hAnsi="Times New Roman" w:hint="eastAsia"/>
                <w:szCs w:val="21"/>
              </w:rPr>
              <w:t>3,714</w:t>
            </w:r>
          </w:p>
        </w:tc>
        <w:tc>
          <w:tcPr>
            <w:tcW w:w="1812" w:type="dxa"/>
            <w:vAlign w:val="center"/>
          </w:tcPr>
          <w:p w:rsidR="006459DE" w:rsidRDefault="00242A2A">
            <w:pPr>
              <w:jc w:val="center"/>
              <w:rPr>
                <w:rFonts w:ascii="Times New Roman" w:hAnsi="Times New Roman"/>
                <w:szCs w:val="21"/>
              </w:rPr>
            </w:pPr>
            <w:r>
              <w:rPr>
                <w:rFonts w:ascii="Times New Roman" w:hAnsi="Times New Roman" w:hint="eastAsia"/>
                <w:szCs w:val="21"/>
              </w:rPr>
              <w:t>6.42</w:t>
            </w:r>
          </w:p>
        </w:tc>
        <w:tc>
          <w:tcPr>
            <w:tcW w:w="1810" w:type="dxa"/>
            <w:vAlign w:val="center"/>
          </w:tcPr>
          <w:p w:rsidR="006459DE" w:rsidRDefault="00242A2A">
            <w:pPr>
              <w:jc w:val="center"/>
              <w:rPr>
                <w:rFonts w:ascii="Times New Roman" w:hAnsi="Times New Roman"/>
                <w:szCs w:val="21"/>
              </w:rPr>
            </w:pPr>
            <w:r>
              <w:rPr>
                <w:rFonts w:ascii="Times New Roman" w:hAnsi="Times New Roman" w:hint="eastAsia"/>
                <w:szCs w:val="21"/>
              </w:rPr>
              <w:t>10.64</w:t>
            </w:r>
          </w:p>
        </w:tc>
      </w:tr>
      <w:tr w:rsidR="006459DE" w:rsidTr="00785047">
        <w:trPr>
          <w:trHeight w:val="397"/>
        </w:trPr>
        <w:tc>
          <w:tcPr>
            <w:tcW w:w="2873" w:type="dxa"/>
            <w:shd w:val="clear" w:color="auto" w:fill="FDE9D9"/>
            <w:vAlign w:val="center"/>
          </w:tcPr>
          <w:p w:rsidR="006459DE" w:rsidRDefault="00242A2A">
            <w:pPr>
              <w:topLinePunct/>
              <w:jc w:val="center"/>
              <w:rPr>
                <w:rFonts w:ascii="Times New Roman" w:hAnsi="Times New Roman"/>
                <w:bCs/>
                <w:szCs w:val="21"/>
              </w:rPr>
            </w:pPr>
            <w:r>
              <w:rPr>
                <w:rFonts w:ascii="Times New Roman" w:hAnsi="Times New Roman"/>
                <w:bCs/>
                <w:szCs w:val="21"/>
              </w:rPr>
              <w:t>外国留学生（全日制）</w:t>
            </w:r>
          </w:p>
        </w:tc>
        <w:tc>
          <w:tcPr>
            <w:tcW w:w="1384"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273</w:t>
            </w:r>
          </w:p>
        </w:tc>
        <w:tc>
          <w:tcPr>
            <w:tcW w:w="1181"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819</w:t>
            </w:r>
          </w:p>
        </w:tc>
        <w:tc>
          <w:tcPr>
            <w:tcW w:w="1812"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0.94</w:t>
            </w:r>
          </w:p>
        </w:tc>
        <w:tc>
          <w:tcPr>
            <w:tcW w:w="1810"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2.34</w:t>
            </w:r>
          </w:p>
        </w:tc>
      </w:tr>
      <w:tr w:rsidR="006459DE" w:rsidTr="00785047">
        <w:trPr>
          <w:trHeight w:val="397"/>
        </w:trPr>
        <w:tc>
          <w:tcPr>
            <w:tcW w:w="2873" w:type="dxa"/>
            <w:tcBorders>
              <w:bottom w:val="single" w:sz="4" w:space="0" w:color="auto"/>
            </w:tcBorders>
            <w:vAlign w:val="center"/>
          </w:tcPr>
          <w:p w:rsidR="006459DE" w:rsidRDefault="00242A2A">
            <w:pPr>
              <w:topLinePunct/>
              <w:jc w:val="center"/>
              <w:rPr>
                <w:rFonts w:ascii="Times New Roman" w:hAnsi="Times New Roman"/>
                <w:bCs/>
                <w:szCs w:val="21"/>
              </w:rPr>
            </w:pPr>
            <w:r>
              <w:rPr>
                <w:rFonts w:ascii="Times New Roman" w:hAnsi="Times New Roman"/>
                <w:bCs/>
                <w:szCs w:val="21"/>
              </w:rPr>
              <w:t>全日制在校生</w:t>
            </w:r>
            <w:r>
              <w:rPr>
                <w:rFonts w:ascii="Times New Roman" w:hAnsi="Times New Roman" w:hint="eastAsia"/>
                <w:bCs/>
                <w:szCs w:val="21"/>
              </w:rPr>
              <w:t>总</w:t>
            </w:r>
            <w:r>
              <w:rPr>
                <w:rFonts w:ascii="Times New Roman" w:hAnsi="Times New Roman"/>
                <w:bCs/>
                <w:szCs w:val="21"/>
              </w:rPr>
              <w:t>数</w:t>
            </w:r>
          </w:p>
        </w:tc>
        <w:tc>
          <w:tcPr>
            <w:tcW w:w="1384" w:type="dxa"/>
            <w:tcBorders>
              <w:bottom w:val="single" w:sz="4" w:space="0" w:color="auto"/>
            </w:tcBorders>
            <w:vAlign w:val="center"/>
          </w:tcPr>
          <w:p w:rsidR="006459DE" w:rsidRDefault="00242A2A">
            <w:pPr>
              <w:jc w:val="center"/>
              <w:rPr>
                <w:rFonts w:ascii="Times New Roman" w:hAnsi="Times New Roman"/>
                <w:szCs w:val="21"/>
              </w:rPr>
            </w:pPr>
            <w:r>
              <w:rPr>
                <w:rFonts w:ascii="Times New Roman" w:hAnsi="Times New Roman" w:hint="eastAsia"/>
                <w:szCs w:val="21"/>
              </w:rPr>
              <w:t>28,944</w:t>
            </w:r>
          </w:p>
        </w:tc>
        <w:tc>
          <w:tcPr>
            <w:tcW w:w="1181" w:type="dxa"/>
            <w:tcBorders>
              <w:bottom w:val="single" w:sz="4" w:space="0" w:color="auto"/>
            </w:tcBorders>
            <w:vAlign w:val="center"/>
          </w:tcPr>
          <w:p w:rsidR="006459DE" w:rsidRDefault="00242A2A">
            <w:pPr>
              <w:jc w:val="center"/>
              <w:rPr>
                <w:rFonts w:ascii="Times New Roman" w:hAnsi="Times New Roman"/>
                <w:szCs w:val="21"/>
              </w:rPr>
            </w:pPr>
            <w:r>
              <w:rPr>
                <w:rFonts w:ascii="Times New Roman" w:hAnsi="Times New Roman" w:hint="eastAsia"/>
                <w:szCs w:val="21"/>
              </w:rPr>
              <w:t>-</w:t>
            </w:r>
          </w:p>
        </w:tc>
        <w:tc>
          <w:tcPr>
            <w:tcW w:w="1812" w:type="dxa"/>
            <w:tcBorders>
              <w:bottom w:val="single" w:sz="4" w:space="0" w:color="auto"/>
            </w:tcBorders>
            <w:vAlign w:val="center"/>
          </w:tcPr>
          <w:p w:rsidR="006459DE" w:rsidRDefault="00242A2A">
            <w:pPr>
              <w:jc w:val="center"/>
              <w:rPr>
                <w:rFonts w:ascii="Times New Roman" w:hAnsi="Times New Roman"/>
                <w:szCs w:val="21"/>
              </w:rPr>
            </w:pPr>
            <w:r>
              <w:rPr>
                <w:rFonts w:ascii="Times New Roman" w:hAnsi="Times New Roman" w:hint="eastAsia"/>
                <w:szCs w:val="21"/>
              </w:rPr>
              <w:t>100</w:t>
            </w:r>
          </w:p>
        </w:tc>
        <w:tc>
          <w:tcPr>
            <w:tcW w:w="1810" w:type="dxa"/>
            <w:tcBorders>
              <w:bottom w:val="single" w:sz="4" w:space="0" w:color="auto"/>
            </w:tcBorders>
            <w:vAlign w:val="center"/>
          </w:tcPr>
          <w:p w:rsidR="006459DE" w:rsidRDefault="00242A2A">
            <w:pPr>
              <w:jc w:val="center"/>
              <w:rPr>
                <w:rFonts w:ascii="Times New Roman" w:hAnsi="Times New Roman"/>
                <w:szCs w:val="21"/>
              </w:rPr>
            </w:pPr>
            <w:r>
              <w:rPr>
                <w:rFonts w:ascii="Times New Roman" w:hAnsi="Times New Roman" w:hint="eastAsia"/>
                <w:szCs w:val="21"/>
              </w:rPr>
              <w:t>-</w:t>
            </w:r>
          </w:p>
        </w:tc>
      </w:tr>
      <w:tr w:rsidR="006459DE" w:rsidTr="00785047">
        <w:trPr>
          <w:trHeight w:val="397"/>
        </w:trPr>
        <w:tc>
          <w:tcPr>
            <w:tcW w:w="2873" w:type="dxa"/>
            <w:tcBorders>
              <w:bottom w:val="single" w:sz="4" w:space="0" w:color="auto"/>
            </w:tcBorders>
            <w:shd w:val="clear" w:color="auto" w:fill="FDE9D9"/>
            <w:vAlign w:val="center"/>
          </w:tcPr>
          <w:p w:rsidR="006459DE" w:rsidRDefault="00242A2A">
            <w:pPr>
              <w:topLinePunct/>
              <w:jc w:val="center"/>
              <w:rPr>
                <w:rFonts w:ascii="Times New Roman" w:hAnsi="Times New Roman"/>
                <w:bCs/>
                <w:szCs w:val="21"/>
              </w:rPr>
            </w:pPr>
            <w:r>
              <w:rPr>
                <w:rFonts w:ascii="Times New Roman" w:hAnsi="Times New Roman"/>
                <w:bCs/>
                <w:szCs w:val="21"/>
              </w:rPr>
              <w:t>成人教育学生（非全日制）</w:t>
            </w:r>
          </w:p>
        </w:tc>
        <w:tc>
          <w:tcPr>
            <w:tcW w:w="1384" w:type="dxa"/>
            <w:tcBorders>
              <w:bottom w:val="single" w:sz="4" w:space="0" w:color="auto"/>
            </w:tcBorders>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6</w:t>
            </w:r>
            <w:r>
              <w:rPr>
                <w:rFonts w:ascii="Times New Roman" w:hAnsi="Times New Roman"/>
                <w:szCs w:val="21"/>
              </w:rPr>
              <w:t>,</w:t>
            </w:r>
            <w:r>
              <w:rPr>
                <w:rFonts w:ascii="Times New Roman" w:hAnsi="Times New Roman" w:hint="eastAsia"/>
                <w:szCs w:val="21"/>
              </w:rPr>
              <w:t>876</w:t>
            </w:r>
          </w:p>
        </w:tc>
        <w:tc>
          <w:tcPr>
            <w:tcW w:w="1181" w:type="dxa"/>
            <w:tcBorders>
              <w:bottom w:val="single" w:sz="4" w:space="0" w:color="auto"/>
            </w:tcBorders>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687.6</w:t>
            </w:r>
          </w:p>
        </w:tc>
        <w:tc>
          <w:tcPr>
            <w:tcW w:w="1812" w:type="dxa"/>
            <w:tcBorders>
              <w:bottom w:val="single" w:sz="4" w:space="0" w:color="auto"/>
            </w:tcBorders>
            <w:shd w:val="clear" w:color="auto" w:fill="FDE9D9"/>
            <w:vAlign w:val="center"/>
          </w:tcPr>
          <w:p w:rsidR="006459DE" w:rsidRDefault="00242A2A">
            <w:pPr>
              <w:jc w:val="center"/>
              <w:rPr>
                <w:rFonts w:ascii="Times New Roman" w:hAnsi="Times New Roman"/>
                <w:szCs w:val="21"/>
              </w:rPr>
            </w:pPr>
            <w:r>
              <w:rPr>
                <w:rFonts w:ascii="Times New Roman" w:hAnsi="Times New Roman"/>
                <w:szCs w:val="21"/>
              </w:rPr>
              <w:t>-</w:t>
            </w:r>
          </w:p>
        </w:tc>
        <w:tc>
          <w:tcPr>
            <w:tcW w:w="1810" w:type="dxa"/>
            <w:tcBorders>
              <w:bottom w:val="single" w:sz="4" w:space="0" w:color="auto"/>
            </w:tcBorders>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1.97</w:t>
            </w:r>
          </w:p>
        </w:tc>
      </w:tr>
      <w:tr w:rsidR="006459DE" w:rsidTr="00785047">
        <w:trPr>
          <w:trHeight w:val="397"/>
        </w:trPr>
        <w:tc>
          <w:tcPr>
            <w:tcW w:w="2873" w:type="dxa"/>
            <w:shd w:val="clear" w:color="auto" w:fill="FFFFFF"/>
            <w:vAlign w:val="center"/>
          </w:tcPr>
          <w:p w:rsidR="006459DE" w:rsidRDefault="00242A2A">
            <w:pPr>
              <w:topLinePunct/>
              <w:jc w:val="center"/>
              <w:rPr>
                <w:rFonts w:ascii="Times New Roman" w:hAnsi="Times New Roman"/>
                <w:bCs/>
                <w:szCs w:val="21"/>
              </w:rPr>
            </w:pPr>
            <w:r>
              <w:rPr>
                <w:rFonts w:ascii="Times New Roman" w:hAnsi="Times New Roman" w:hint="eastAsia"/>
                <w:bCs/>
                <w:szCs w:val="21"/>
              </w:rPr>
              <w:t>折合在</w:t>
            </w:r>
            <w:r>
              <w:rPr>
                <w:rFonts w:ascii="Times New Roman" w:hAnsi="Times New Roman"/>
                <w:bCs/>
                <w:szCs w:val="21"/>
              </w:rPr>
              <w:t>校生</w:t>
            </w:r>
            <w:r>
              <w:rPr>
                <w:rFonts w:ascii="Times New Roman" w:hAnsi="Times New Roman" w:hint="eastAsia"/>
                <w:bCs/>
                <w:szCs w:val="21"/>
              </w:rPr>
              <w:t>总</w:t>
            </w:r>
            <w:r>
              <w:rPr>
                <w:rFonts w:ascii="Times New Roman" w:hAnsi="Times New Roman"/>
                <w:bCs/>
                <w:szCs w:val="21"/>
              </w:rPr>
              <w:t>数</w:t>
            </w:r>
          </w:p>
        </w:tc>
        <w:tc>
          <w:tcPr>
            <w:tcW w:w="1384" w:type="dxa"/>
            <w:shd w:val="clear" w:color="auto" w:fill="FFFFFF"/>
            <w:vAlign w:val="center"/>
          </w:tcPr>
          <w:p w:rsidR="006459DE" w:rsidRDefault="00242A2A">
            <w:pPr>
              <w:topLinePunct/>
              <w:jc w:val="center"/>
              <w:rPr>
                <w:rFonts w:ascii="Times New Roman" w:hAnsi="Times New Roman"/>
                <w:bCs/>
                <w:szCs w:val="21"/>
              </w:rPr>
            </w:pPr>
            <w:r>
              <w:rPr>
                <w:rFonts w:ascii="Times New Roman" w:hAnsi="Times New Roman" w:hint="eastAsia"/>
                <w:bCs/>
                <w:szCs w:val="21"/>
              </w:rPr>
              <w:t>-</w:t>
            </w:r>
          </w:p>
        </w:tc>
        <w:tc>
          <w:tcPr>
            <w:tcW w:w="1181" w:type="dxa"/>
            <w:shd w:val="clear" w:color="auto" w:fill="FFFFFF"/>
            <w:vAlign w:val="center"/>
          </w:tcPr>
          <w:p w:rsidR="006459DE" w:rsidRDefault="00242A2A">
            <w:pPr>
              <w:topLinePunct/>
              <w:jc w:val="center"/>
              <w:rPr>
                <w:rFonts w:ascii="Times New Roman" w:hAnsi="Times New Roman"/>
                <w:bCs/>
                <w:szCs w:val="21"/>
              </w:rPr>
            </w:pPr>
            <w:r>
              <w:rPr>
                <w:rFonts w:ascii="Times New Roman" w:hAnsi="Times New Roman" w:hint="eastAsia"/>
                <w:bCs/>
                <w:szCs w:val="21"/>
              </w:rPr>
              <w:t>34,915.6</w:t>
            </w:r>
          </w:p>
        </w:tc>
        <w:tc>
          <w:tcPr>
            <w:tcW w:w="1812" w:type="dxa"/>
            <w:shd w:val="clear" w:color="auto" w:fill="FFFFFF"/>
            <w:vAlign w:val="center"/>
          </w:tcPr>
          <w:p w:rsidR="006459DE" w:rsidRDefault="00242A2A">
            <w:pPr>
              <w:topLinePunct/>
              <w:jc w:val="center"/>
              <w:rPr>
                <w:rFonts w:ascii="Times New Roman" w:hAnsi="Times New Roman"/>
                <w:bCs/>
                <w:szCs w:val="21"/>
              </w:rPr>
            </w:pPr>
            <w:r>
              <w:rPr>
                <w:rFonts w:ascii="Times New Roman" w:hAnsi="Times New Roman" w:hint="eastAsia"/>
                <w:bCs/>
                <w:szCs w:val="21"/>
              </w:rPr>
              <w:t>-</w:t>
            </w:r>
          </w:p>
        </w:tc>
        <w:tc>
          <w:tcPr>
            <w:tcW w:w="1810" w:type="dxa"/>
            <w:shd w:val="clear" w:color="auto" w:fill="FFFFFF"/>
            <w:vAlign w:val="center"/>
          </w:tcPr>
          <w:p w:rsidR="006459DE" w:rsidRDefault="00242A2A">
            <w:pPr>
              <w:topLinePunct/>
              <w:jc w:val="center"/>
              <w:rPr>
                <w:rFonts w:ascii="Times New Roman" w:hAnsi="Times New Roman"/>
                <w:bCs/>
                <w:szCs w:val="21"/>
              </w:rPr>
            </w:pPr>
            <w:r>
              <w:rPr>
                <w:rFonts w:ascii="Times New Roman" w:hAnsi="Times New Roman" w:hint="eastAsia"/>
                <w:bCs/>
                <w:szCs w:val="21"/>
              </w:rPr>
              <w:t>100</w:t>
            </w:r>
          </w:p>
        </w:tc>
      </w:tr>
    </w:tbl>
    <w:p w:rsidR="006459DE" w:rsidRDefault="00242A2A">
      <w:pPr>
        <w:pStyle w:val="a6"/>
        <w:widowControl/>
        <w:topLinePunct/>
        <w:spacing w:before="0" w:beforeAutospacing="0" w:after="0" w:afterAutospacing="0" w:line="240" w:lineRule="exact"/>
        <w:ind w:firstLineChars="200" w:firstLine="380"/>
        <w:rPr>
          <w:rFonts w:ascii="Times New Roman" w:hAnsi="Times New Roman" w:cs="Times New Roman"/>
          <w:kern w:val="0"/>
          <w:sz w:val="19"/>
          <w:szCs w:val="21"/>
        </w:rPr>
      </w:pPr>
      <w:r>
        <w:rPr>
          <w:rFonts w:ascii="Times New Roman" w:hAnsi="Times New Roman" w:cs="Times New Roman"/>
          <w:kern w:val="0"/>
          <w:sz w:val="19"/>
          <w:szCs w:val="21"/>
        </w:rPr>
        <w:t>备注：折合在校生数</w:t>
      </w:r>
      <w:r>
        <w:rPr>
          <w:rFonts w:ascii="Times New Roman" w:hAnsi="Times New Roman" w:cs="Times New Roman"/>
          <w:kern w:val="0"/>
          <w:sz w:val="19"/>
          <w:szCs w:val="21"/>
        </w:rPr>
        <w:t>=</w:t>
      </w:r>
      <w:r>
        <w:rPr>
          <w:rFonts w:ascii="Times New Roman" w:hAnsi="Times New Roman" w:cs="Times New Roman"/>
          <w:kern w:val="0"/>
          <w:sz w:val="19"/>
          <w:szCs w:val="21"/>
        </w:rPr>
        <w:t>普通本、专科（高职</w:t>
      </w:r>
      <w:r>
        <w:rPr>
          <w:rFonts w:ascii="Times New Roman" w:hAnsi="Times New Roman" w:cs="Times New Roman"/>
          <w:kern w:val="0"/>
          <w:sz w:val="19"/>
          <w:szCs w:val="21"/>
        </w:rPr>
        <w:t>)</w:t>
      </w:r>
      <w:r>
        <w:rPr>
          <w:rFonts w:ascii="Times New Roman" w:hAnsi="Times New Roman" w:cs="Times New Roman"/>
          <w:kern w:val="0"/>
          <w:sz w:val="19"/>
          <w:szCs w:val="21"/>
        </w:rPr>
        <w:t>生数</w:t>
      </w:r>
      <w:r>
        <w:rPr>
          <w:rFonts w:ascii="Times New Roman" w:hAnsi="Times New Roman" w:cs="Times New Roman"/>
          <w:kern w:val="0"/>
          <w:sz w:val="19"/>
          <w:szCs w:val="21"/>
        </w:rPr>
        <w:t>+</w:t>
      </w:r>
      <w:r>
        <w:rPr>
          <w:rFonts w:ascii="Times New Roman" w:hAnsi="Times New Roman" w:cs="Times New Roman"/>
          <w:kern w:val="0"/>
          <w:sz w:val="19"/>
          <w:szCs w:val="21"/>
        </w:rPr>
        <w:t>全日制硕士生数</w:t>
      </w:r>
      <w:r>
        <w:rPr>
          <w:rFonts w:ascii="Times New Roman" w:hAnsi="Times New Roman" w:cs="Times New Roman"/>
          <w:kern w:val="0"/>
          <w:sz w:val="19"/>
          <w:szCs w:val="21"/>
        </w:rPr>
        <w:t>×1.5+</w:t>
      </w:r>
      <w:r>
        <w:rPr>
          <w:rFonts w:ascii="Times New Roman" w:hAnsi="Times New Roman" w:cs="Times New Roman"/>
          <w:kern w:val="0"/>
          <w:sz w:val="19"/>
          <w:szCs w:val="21"/>
        </w:rPr>
        <w:t>全日制博士生数</w:t>
      </w:r>
      <w:r>
        <w:rPr>
          <w:rFonts w:ascii="Times New Roman" w:hAnsi="Times New Roman" w:cs="Times New Roman"/>
          <w:kern w:val="0"/>
          <w:sz w:val="19"/>
          <w:szCs w:val="21"/>
        </w:rPr>
        <w:t>×2+</w:t>
      </w:r>
      <w:r>
        <w:rPr>
          <w:rFonts w:ascii="Times New Roman" w:hAnsi="Times New Roman" w:cs="Times New Roman"/>
          <w:kern w:val="0"/>
          <w:sz w:val="19"/>
          <w:szCs w:val="21"/>
        </w:rPr>
        <w:t>留学生数</w:t>
      </w:r>
      <w:r>
        <w:rPr>
          <w:rFonts w:ascii="Times New Roman" w:hAnsi="Times New Roman" w:cs="Times New Roman"/>
          <w:kern w:val="0"/>
          <w:sz w:val="19"/>
          <w:szCs w:val="21"/>
        </w:rPr>
        <w:t>×3+</w:t>
      </w:r>
      <w:r>
        <w:rPr>
          <w:rFonts w:ascii="Times New Roman" w:hAnsi="Times New Roman" w:cs="Times New Roman"/>
          <w:kern w:val="0"/>
          <w:sz w:val="19"/>
          <w:szCs w:val="21"/>
        </w:rPr>
        <w:t>预科生数</w:t>
      </w:r>
      <w:r>
        <w:rPr>
          <w:rFonts w:ascii="Times New Roman" w:hAnsi="Times New Roman" w:cs="Times New Roman"/>
          <w:kern w:val="0"/>
          <w:sz w:val="19"/>
          <w:szCs w:val="21"/>
        </w:rPr>
        <w:t>+</w:t>
      </w:r>
      <w:r>
        <w:rPr>
          <w:rFonts w:ascii="Times New Roman" w:hAnsi="Times New Roman" w:cs="Times New Roman"/>
          <w:kern w:val="0"/>
          <w:sz w:val="19"/>
          <w:szCs w:val="21"/>
        </w:rPr>
        <w:t>进修生数</w:t>
      </w:r>
      <w:r>
        <w:rPr>
          <w:rFonts w:ascii="Times New Roman" w:hAnsi="Times New Roman" w:cs="Times New Roman"/>
          <w:kern w:val="0"/>
          <w:sz w:val="19"/>
          <w:szCs w:val="21"/>
        </w:rPr>
        <w:t>+</w:t>
      </w:r>
      <w:r>
        <w:rPr>
          <w:rFonts w:ascii="Times New Roman" w:hAnsi="Times New Roman" w:cs="Times New Roman"/>
          <w:kern w:val="0"/>
          <w:sz w:val="19"/>
          <w:szCs w:val="21"/>
        </w:rPr>
        <w:t>成人脱产班学生数</w:t>
      </w:r>
      <w:r>
        <w:rPr>
          <w:rFonts w:ascii="Times New Roman" w:hAnsi="Times New Roman" w:cs="Times New Roman"/>
          <w:kern w:val="0"/>
          <w:sz w:val="19"/>
          <w:szCs w:val="21"/>
        </w:rPr>
        <w:t>+</w:t>
      </w:r>
      <w:r>
        <w:rPr>
          <w:rFonts w:ascii="Times New Roman" w:hAnsi="Times New Roman" w:cs="Times New Roman"/>
          <w:kern w:val="0"/>
          <w:sz w:val="19"/>
          <w:szCs w:val="21"/>
        </w:rPr>
        <w:t>夜大（业余</w:t>
      </w:r>
      <w:r>
        <w:rPr>
          <w:rFonts w:ascii="Times New Roman" w:hAnsi="Times New Roman" w:cs="Times New Roman"/>
          <w:kern w:val="0"/>
          <w:sz w:val="19"/>
          <w:szCs w:val="21"/>
        </w:rPr>
        <w:t>)</w:t>
      </w:r>
      <w:r>
        <w:rPr>
          <w:rFonts w:ascii="Times New Roman" w:hAnsi="Times New Roman" w:cs="Times New Roman"/>
          <w:kern w:val="0"/>
          <w:sz w:val="19"/>
          <w:szCs w:val="21"/>
        </w:rPr>
        <w:t>学生数</w:t>
      </w:r>
      <w:r>
        <w:rPr>
          <w:rFonts w:ascii="Times New Roman" w:hAnsi="Times New Roman" w:cs="Times New Roman"/>
          <w:kern w:val="0"/>
          <w:sz w:val="19"/>
          <w:szCs w:val="21"/>
        </w:rPr>
        <w:t>×0.3+</w:t>
      </w:r>
      <w:r>
        <w:rPr>
          <w:rFonts w:ascii="Times New Roman" w:hAnsi="Times New Roman" w:cs="Times New Roman"/>
          <w:kern w:val="0"/>
          <w:sz w:val="19"/>
          <w:szCs w:val="21"/>
        </w:rPr>
        <w:t>函授生数</w:t>
      </w:r>
      <w:r>
        <w:rPr>
          <w:rFonts w:ascii="Times New Roman" w:hAnsi="Times New Roman" w:cs="Times New Roman"/>
          <w:kern w:val="0"/>
          <w:sz w:val="19"/>
          <w:szCs w:val="21"/>
        </w:rPr>
        <w:t>×0.1</w:t>
      </w:r>
      <w:r>
        <w:rPr>
          <w:rFonts w:ascii="Times New Roman" w:hAnsi="Times New Roman" w:cs="Times New Roman"/>
          <w:kern w:val="0"/>
          <w:sz w:val="19"/>
          <w:szCs w:val="21"/>
        </w:rPr>
        <w:t>（不包括自考生）。</w:t>
      </w:r>
    </w:p>
    <w:p w:rsidR="006459DE" w:rsidRDefault="00242A2A">
      <w:pPr>
        <w:pStyle w:val="2"/>
        <w:spacing w:before="62" w:after="62"/>
      </w:pPr>
      <w:bookmarkStart w:id="4" w:name="_Toc502497565"/>
      <w:r>
        <w:rPr>
          <w:rFonts w:hint="eastAsia"/>
        </w:rPr>
        <w:t>4.</w:t>
      </w:r>
      <w:r>
        <w:rPr>
          <w:rFonts w:hint="eastAsia"/>
        </w:rPr>
        <w:t>生源质量</w:t>
      </w:r>
      <w:bookmarkEnd w:id="4"/>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学校6</w:t>
      </w:r>
      <w:r>
        <w:rPr>
          <w:rFonts w:ascii="仿宋_GB2312" w:eastAsia="仿宋_GB2312" w:hAnsi="黑体" w:hint="eastAsia"/>
          <w:spacing w:val="-6"/>
          <w:sz w:val="30"/>
          <w:szCs w:val="30"/>
        </w:rPr>
        <w:t>2个本科专业面向全国31个省（</w:t>
      </w:r>
      <w:r>
        <w:rPr>
          <w:rFonts w:ascii="仿宋_GB2312" w:eastAsia="仿宋_GB2312" w:hAnsi="黑体" w:hint="eastAsia"/>
          <w:sz w:val="30"/>
          <w:szCs w:val="30"/>
        </w:rPr>
        <w:t>市、自治区）招生，其中</w:t>
      </w:r>
      <w:r>
        <w:rPr>
          <w:rFonts w:ascii="仿宋_GB2312" w:eastAsia="仿宋_GB2312" w:hAnsi="黑体" w:hint="eastAsia"/>
          <w:spacing w:val="-6"/>
          <w:sz w:val="30"/>
          <w:szCs w:val="30"/>
        </w:rPr>
        <w:t>34个专业按12个大类招生。招生计划5,300人，实际录取</w:t>
      </w:r>
      <w:r>
        <w:rPr>
          <w:rFonts w:ascii="仿宋_GB2312" w:eastAsia="仿宋_GB2312" w:hAnsi="黑体" w:hint="eastAsia"/>
          <w:sz w:val="30"/>
          <w:szCs w:val="30"/>
        </w:rPr>
        <w:t>5,294人。学生整体专业志愿满足率达89.7%，其中水利类、电气工程及其自动化、机械类、电子信息工程、计算机科学与技术、软件工程、食品科学与工程类、生物科学类、经济学类、法学、公共事业管理等11个专业（类）考生专业志愿率为100%。2017年，普通文史类录取333人，</w:t>
      </w:r>
      <w:r>
        <w:rPr>
          <w:rFonts w:ascii="仿宋_GB2312" w:eastAsia="仿宋_GB2312" w:hAnsi="黑体" w:hint="eastAsia"/>
          <w:spacing w:val="-6"/>
          <w:sz w:val="30"/>
          <w:szCs w:val="30"/>
        </w:rPr>
        <w:t>录取分平均高出一本线49分，</w:t>
      </w:r>
      <w:r>
        <w:rPr>
          <w:rFonts w:ascii="仿宋_GB2312" w:eastAsia="仿宋_GB2312" w:hAnsi="黑体" w:hint="eastAsia"/>
          <w:sz w:val="30"/>
          <w:szCs w:val="30"/>
        </w:rPr>
        <w:t>较上年提高8.3分；普通理工类录取4,</w:t>
      </w:r>
      <w:r>
        <w:rPr>
          <w:rFonts w:ascii="仿宋_GB2312" w:eastAsia="仿宋_GB2312" w:hAnsi="黑体" w:hint="eastAsia"/>
          <w:spacing w:val="-6"/>
          <w:sz w:val="30"/>
          <w:szCs w:val="30"/>
        </w:rPr>
        <w:t>074人，录取分平均高出一本线77分，</w:t>
      </w:r>
      <w:r>
        <w:rPr>
          <w:rFonts w:ascii="仿宋_GB2312" w:eastAsia="仿宋_GB2312" w:hAnsi="黑体" w:hint="eastAsia"/>
          <w:sz w:val="30"/>
          <w:szCs w:val="30"/>
        </w:rPr>
        <w:t>较上年提高5.7分。学校录取分逐年提高，对优质生源吸引力逐年增强。</w:t>
      </w:r>
    </w:p>
    <w:p w:rsidR="006459DE" w:rsidRDefault="006459DE">
      <w:pPr>
        <w:spacing w:line="560" w:lineRule="exact"/>
        <w:ind w:firstLineChars="200" w:firstLine="600"/>
        <w:rPr>
          <w:rFonts w:ascii="仿宋_GB2312" w:eastAsia="仿宋_GB2312" w:hAnsi="黑体"/>
          <w:sz w:val="30"/>
          <w:szCs w:val="30"/>
        </w:rPr>
      </w:pPr>
    </w:p>
    <w:p w:rsidR="006459DE" w:rsidRDefault="00242A2A">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D150695" wp14:editId="6AAA6256">
            <wp:extent cx="4418965" cy="2842895"/>
            <wp:effectExtent l="19050" t="0" r="155" b="0"/>
            <wp:docPr id="2" name="图片 2" descr="C:\Users\pjb\AppData\Roaming\Tencent\Users\517732355\QQ\WinTemp\RichOle\4CZ`C8_8}MD}(V{L(HHA3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jb\AppData\Roaming\Tencent\Users\517732355\QQ\WinTemp\RichOle\4CZ`C8_8}MD}(V{L(HHA3M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28045" cy="2848485"/>
                    </a:xfrm>
                    <a:prstGeom prst="rect">
                      <a:avLst/>
                    </a:prstGeom>
                    <a:noFill/>
                    <a:ln>
                      <a:noFill/>
                    </a:ln>
                  </pic:spPr>
                </pic:pic>
              </a:graphicData>
            </a:graphic>
          </wp:inline>
        </w:drawing>
      </w:r>
    </w:p>
    <w:p w:rsidR="006459DE" w:rsidRDefault="00242A2A">
      <w:pPr>
        <w:pStyle w:val="3"/>
        <w:spacing w:before="62" w:after="62"/>
      </w:pPr>
      <w:r>
        <w:rPr>
          <w:rFonts w:hint="eastAsia"/>
        </w:rPr>
        <w:t>图1-1  2015-2017年招生录取平均分超一本线的分值变化情况</w:t>
      </w:r>
    </w:p>
    <w:p w:rsidR="006459DE" w:rsidRDefault="006459DE">
      <w:pPr>
        <w:sectPr w:rsidR="006459DE">
          <w:footerReference w:type="default" r:id="rId14"/>
          <w:pgSz w:w="11906" w:h="16838"/>
          <w:pgMar w:top="1701" w:right="1531" w:bottom="1418" w:left="1531" w:header="851" w:footer="992" w:gutter="0"/>
          <w:pgNumType w:start="1"/>
          <w:cols w:space="425"/>
          <w:docGrid w:type="lines" w:linePitch="312"/>
        </w:sectPr>
      </w:pPr>
    </w:p>
    <w:p w:rsidR="006459DE" w:rsidRDefault="00242A2A">
      <w:pPr>
        <w:pStyle w:val="1"/>
        <w:spacing w:before="156" w:after="156"/>
      </w:pPr>
      <w:bookmarkStart w:id="5" w:name="_Toc502497566"/>
      <w:r>
        <w:rPr>
          <w:rFonts w:hint="eastAsia"/>
        </w:rPr>
        <w:t>第二部分</w:t>
      </w:r>
      <w:r>
        <w:rPr>
          <w:rFonts w:hint="eastAsia"/>
        </w:rPr>
        <w:t xml:space="preserve">  </w:t>
      </w:r>
      <w:r>
        <w:rPr>
          <w:rFonts w:hint="eastAsia"/>
        </w:rPr>
        <w:t>师资与教学条件</w:t>
      </w:r>
      <w:bookmarkEnd w:id="5"/>
    </w:p>
    <w:p w:rsidR="006459DE" w:rsidRDefault="00242A2A">
      <w:pPr>
        <w:pStyle w:val="2"/>
        <w:spacing w:before="62" w:after="62"/>
      </w:pPr>
      <w:bookmarkStart w:id="6" w:name="_Toc502497567"/>
      <w:r>
        <w:rPr>
          <w:rFonts w:hint="eastAsia"/>
        </w:rPr>
        <w:t>1.</w:t>
      </w:r>
      <w:r>
        <w:rPr>
          <w:rFonts w:hint="eastAsia"/>
        </w:rPr>
        <w:t>师资队伍</w:t>
      </w:r>
      <w:bookmarkEnd w:id="6"/>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（1）数量</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w:t>
      </w:r>
      <w:r>
        <w:rPr>
          <w:rFonts w:ascii="仿宋_GB2312" w:eastAsia="仿宋_GB2312" w:hAnsi="黑体" w:hint="eastAsia"/>
          <w:spacing w:val="4"/>
          <w:sz w:val="30"/>
          <w:szCs w:val="30"/>
        </w:rPr>
        <w:t>校现有教职工4,472人，其中专任教师2,107人，</w:t>
      </w:r>
      <w:r>
        <w:rPr>
          <w:rFonts w:ascii="仿宋_GB2312" w:eastAsia="仿宋_GB2312" w:hAnsi="黑体" w:hint="eastAsia"/>
          <w:sz w:val="30"/>
          <w:szCs w:val="30"/>
        </w:rPr>
        <w:t>外聘教师7人，生师比为16.54:1。专任</w:t>
      </w:r>
      <w:r>
        <w:rPr>
          <w:rFonts w:ascii="仿宋_GB2312" w:eastAsia="仿宋_GB2312" w:hAnsi="黑体" w:hint="eastAsia"/>
          <w:spacing w:val="4"/>
          <w:sz w:val="30"/>
          <w:szCs w:val="30"/>
        </w:rPr>
        <w:t>教师中，有中国科学院院</w:t>
      </w:r>
      <w:r>
        <w:rPr>
          <w:rFonts w:ascii="仿宋_GB2312" w:eastAsia="仿宋_GB2312" w:hAnsi="黑体" w:hint="eastAsia"/>
          <w:sz w:val="30"/>
          <w:szCs w:val="30"/>
        </w:rPr>
        <w:t>士1人、中</w:t>
      </w:r>
      <w:r>
        <w:rPr>
          <w:rFonts w:ascii="仿宋_GB2312" w:eastAsia="仿宋_GB2312" w:hAnsi="黑体" w:hint="eastAsia"/>
          <w:spacing w:val="-6"/>
          <w:sz w:val="30"/>
          <w:szCs w:val="30"/>
        </w:rPr>
        <w:t>国工程院院士1人，双聘院士11人；国家“千人计划”入选</w:t>
      </w:r>
      <w:r>
        <w:rPr>
          <w:rFonts w:ascii="仿宋_GB2312" w:eastAsia="仿宋_GB2312" w:hAnsi="黑体" w:hint="eastAsia"/>
          <w:sz w:val="30"/>
          <w:szCs w:val="30"/>
        </w:rPr>
        <w:t>者7人，“青年千人计划”入选者4人；“长江学者”特聘教授5人，“长江学者”讲座教授3人；国家杰出青年科学基金获得者6人；国家优秀青年科学基金获得者7人；“万人计划”入选者4人；国家级教学名师2人；教育部新世纪优秀人才支持计划入选者65人；教育部高校青年教师获奖者3人；百千万工程入选者12人；省级高层次人才37人；省部级突出贡献专家21人；省级教学名师18人。有国家级教学团队5个，教育部创新团队4个，省部级教学团队23个，省级高层次教学团队5个。</w:t>
      </w: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（2）结构</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加大投入、创新机制、完善政策，专任教师数量平稳增长，结构不断优化。专任教师中，46岁以下中青年教师1,361人，占64.59%;具有博士学位教师1,479人，占70.19%；具有高级职称教师1,305人，占61.94%；具有外校学缘教师1,282人，占60.84%。学校形成了一支年龄、学历、职称结构比较合理的专任教师队伍，有力保障了教育教学质量。</w:t>
      </w: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242A2A">
      <w:pPr>
        <w:jc w:val="center"/>
        <w:rPr>
          <w:rFonts w:ascii="仿宋_GB2312" w:eastAsia="仿宋_GB2312" w:hAnsi="黑体"/>
          <w:sz w:val="30"/>
          <w:szCs w:val="30"/>
        </w:rPr>
      </w:pPr>
      <w:r>
        <w:rPr>
          <w:rFonts w:ascii="仿宋_GB2312" w:eastAsia="仿宋_GB2312" w:hAnsi="黑体" w:hint="eastAsia"/>
          <w:noProof/>
          <w:sz w:val="30"/>
          <w:szCs w:val="30"/>
        </w:rPr>
        <w:drawing>
          <wp:inline distT="0" distB="0" distL="0" distR="0" wp14:anchorId="258B5FC6" wp14:editId="6EE6034C">
            <wp:extent cx="2491740" cy="17481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l="10746" t="3358" r="14254" b="7089"/>
                    <a:stretch>
                      <a:fillRect/>
                    </a:stretch>
                  </pic:blipFill>
                  <pic:spPr>
                    <a:xfrm>
                      <a:off x="0" y="0"/>
                      <a:ext cx="2497182" cy="1752410"/>
                    </a:xfrm>
                    <a:prstGeom prst="rect">
                      <a:avLst/>
                    </a:prstGeom>
                    <a:noFill/>
                    <a:ln>
                      <a:noFill/>
                    </a:ln>
                  </pic:spPr>
                </pic:pic>
              </a:graphicData>
            </a:graphic>
          </wp:inline>
        </w:drawing>
      </w:r>
      <w:r>
        <w:rPr>
          <w:rFonts w:ascii="仿宋_GB2312" w:eastAsia="仿宋_GB2312" w:hAnsi="黑体" w:hint="eastAsia"/>
          <w:noProof/>
          <w:sz w:val="30"/>
          <w:szCs w:val="30"/>
        </w:rPr>
        <w:drawing>
          <wp:inline distT="0" distB="0" distL="0" distR="0" wp14:anchorId="091968AF" wp14:editId="2ED1AE9C">
            <wp:extent cx="2825750" cy="171196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l="7456" t="8454" r="11183" b="8029"/>
                    <a:stretch>
                      <a:fillRect/>
                    </a:stretch>
                  </pic:blipFill>
                  <pic:spPr>
                    <a:xfrm>
                      <a:off x="0" y="0"/>
                      <a:ext cx="2819391" cy="1708219"/>
                    </a:xfrm>
                    <a:prstGeom prst="rect">
                      <a:avLst/>
                    </a:prstGeom>
                    <a:noFill/>
                    <a:ln>
                      <a:noFill/>
                    </a:ln>
                  </pic:spPr>
                </pic:pic>
              </a:graphicData>
            </a:graphic>
          </wp:inline>
        </w:drawing>
      </w:r>
    </w:p>
    <w:p w:rsidR="006459DE" w:rsidRDefault="00242A2A">
      <w:pPr>
        <w:spacing w:line="560" w:lineRule="exact"/>
        <w:ind w:firstLineChars="500" w:firstLine="1205"/>
        <w:rPr>
          <w:rFonts w:asciiTheme="majorEastAsia" w:eastAsiaTheme="majorEastAsia" w:hAnsiTheme="majorEastAsia"/>
          <w:b/>
          <w:sz w:val="24"/>
          <w:szCs w:val="24"/>
        </w:rPr>
      </w:pPr>
      <w:r>
        <w:rPr>
          <w:rFonts w:asciiTheme="majorEastAsia" w:eastAsiaTheme="majorEastAsia" w:hAnsiTheme="majorEastAsia" w:hint="eastAsia"/>
          <w:b/>
          <w:sz w:val="24"/>
          <w:szCs w:val="24"/>
        </w:rPr>
        <w:t>图2-1  职称结构                    图2-2  学历结构</w:t>
      </w: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（3）师资队伍建设</w:t>
      </w:r>
    </w:p>
    <w:p w:rsidR="006459DE" w:rsidRDefault="00242A2A" w:rsidP="00242A2A">
      <w:pPr>
        <w:adjustRightInd w:val="0"/>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学校实施人才强校战略，全面加强师资队伍建设。近年来，学校深入贯彻习近平总书记系列重要讲话精神，引导全体教师争做“</w:t>
      </w:r>
      <w:r w:rsidRPr="00242A2A">
        <w:rPr>
          <w:rFonts w:ascii="仿宋_GB2312" w:eastAsia="仿宋_GB2312" w:hAnsi="黑体" w:hint="eastAsia"/>
          <w:sz w:val="30"/>
          <w:szCs w:val="30"/>
        </w:rPr>
        <w:t>有理想信念、有道德情操、有扎实学识、有仁爱之心”的好教师</w:t>
      </w:r>
      <w:r>
        <w:rPr>
          <w:rFonts w:ascii="仿宋_GB2312" w:eastAsia="仿宋_GB2312" w:hAnsi="黑体" w:hint="eastAsia"/>
          <w:sz w:val="30"/>
          <w:szCs w:val="30"/>
        </w:rPr>
        <w:t>。</w:t>
      </w:r>
    </w:p>
    <w:p w:rsidR="006459DE" w:rsidRDefault="00242A2A" w:rsidP="00242A2A">
      <w:pPr>
        <w:adjustRightInd w:val="0"/>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学校把教学技能培训作为教师能力发展的关键，组织开展系列培训、竞赛、进修、研修、访学等活动，形成西农特色校本培训，培训工作受到陕西省教育厅、教育部专题报道。2016-2017学年，共组织青年教</w:t>
      </w:r>
      <w:r w:rsidRPr="00242A2A">
        <w:rPr>
          <w:rFonts w:ascii="仿宋_GB2312" w:eastAsia="仿宋_GB2312" w:hAnsi="黑体" w:hint="eastAsia"/>
          <w:sz w:val="30"/>
          <w:szCs w:val="30"/>
        </w:rPr>
        <w:t>师讲课比赛1次、组织或参加各类教学竞赛4次、参与教师</w:t>
      </w:r>
      <w:r>
        <w:rPr>
          <w:rFonts w:ascii="仿宋_GB2312" w:eastAsia="仿宋_GB2312" w:hAnsi="黑体" w:hint="eastAsia"/>
          <w:sz w:val="30"/>
          <w:szCs w:val="30"/>
        </w:rPr>
        <w:t>365人次；开展教学工作坊3次、参与教师1,500人次，组织教学沙龙、教学研讨16场、参与教师1,600人次；开展教学实务培训1场、参与教师82人次；开展教育技术培训12场、参与教师300人次。通过形式多样、丰富多彩的各类培训，教师教学水平不断提高，2017届本科毕业生对教学不满意率仅有1.83%。</w:t>
      </w: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（4）教授授课情况</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将教授、副教授为本科学生上课作为一项基本制度，规定教授每年至少独立为本科生讲授1门课程，在提高教学质量上起示范引领作用。二、三级教授每年至少为本科生做2场学科发展前沿学术报告。在制度规范下，教授、副教授为本科生上课比例逐步提高。2016-2017学年，学校开课1,839门（含网络课程），共有5,606门次。教授给本科生上课511门、968门次，占开设课程总门数27.79%；主讲本科课程的教授占教授总数的77.71%。副教授给本科生上课924门、2,476门次，占开设课程总门数50.24%；主讲本科课程的副教授占副教授总数的83.96%。全校主讲本科课程教授、副教授人数占教授、副教授总数的81.49%。经过多年的常抓不懈，已经形成教师乐于教学、勤于教学、精于教学的良好氛围。</w:t>
      </w:r>
    </w:p>
    <w:p w:rsidR="006459DE" w:rsidRDefault="00242A2A">
      <w:pPr>
        <w:pStyle w:val="2"/>
        <w:spacing w:before="62" w:after="62"/>
      </w:pPr>
      <w:bookmarkStart w:id="7" w:name="_Toc502497568"/>
      <w:r>
        <w:rPr>
          <w:rFonts w:hint="eastAsia"/>
        </w:rPr>
        <w:t>2.</w:t>
      </w:r>
      <w:r>
        <w:rPr>
          <w:rFonts w:hint="eastAsia"/>
        </w:rPr>
        <w:t>教学条件</w:t>
      </w:r>
      <w:bookmarkEnd w:id="7"/>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（1）教学经费</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始终坚持教学经费投入优先、教学建设先行的原则，建立教学经费投入长效机制，教学经费投入满足教学基本需求。2016年本科教学经费总支出为21,413.13万元。教学日常运行经费支出为12,198.78万元，生均本科教学日常运行支出5,820.31元。教学专项经费支出为9,214.35万元，其中教学改革专项经费957.03万元，专业建设经费2,295.58万元，实践教学经费5,163.52万元，教师培训进修专项经费421.09万元。</w:t>
      </w: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6459DE">
      <w:pPr>
        <w:spacing w:line="20" w:lineRule="exact"/>
        <w:ind w:firstLineChars="200" w:firstLine="600"/>
        <w:rPr>
          <w:rFonts w:ascii="仿宋_GB2312" w:eastAsia="仿宋_GB2312" w:hAnsi="黑体"/>
          <w:sz w:val="30"/>
          <w:szCs w:val="30"/>
        </w:rPr>
      </w:pPr>
    </w:p>
    <w:p w:rsidR="006459DE" w:rsidRDefault="00FC679C">
      <w:pPr>
        <w:spacing w:line="20" w:lineRule="exact"/>
        <w:ind w:firstLineChars="200" w:firstLine="600"/>
        <w:rPr>
          <w:rFonts w:ascii="仿宋_GB2312" w:eastAsia="仿宋_GB2312" w:hAnsi="黑体"/>
          <w:sz w:val="30"/>
          <w:szCs w:val="30"/>
        </w:rPr>
      </w:pPr>
      <w:r>
        <w:rPr>
          <w:rFonts w:ascii="仿宋_GB2312" w:eastAsia="仿宋_GB2312" w:hAnsi="黑体"/>
          <w:sz w:val="30"/>
          <w:szCs w:val="30"/>
        </w:rPr>
        <w:pict>
          <v:rect id="_x0000_s1027" style="position:absolute;left:0;text-align:left;margin-left:5.1pt;margin-top:24.65pt;width:21.4pt;height:45.8pt;z-index:251658240;mso-width-relative:page;mso-height-relative:page" strokecolor="white">
            <v:textbox style="layout-flow:vertical-ideographic;mso-next-textbox:#_x0000_s1027" inset="0,0,0,0">
              <w:txbxContent>
                <w:p w:rsidR="00242A2A" w:rsidRDefault="00242A2A">
                  <w:pPr>
                    <w:rPr>
                      <w:rFonts w:asciiTheme="majorEastAsia" w:eastAsiaTheme="majorEastAsia" w:hAnsiTheme="majorEastAsia"/>
                      <w:sz w:val="18"/>
                      <w:szCs w:val="18"/>
                    </w:rPr>
                  </w:pPr>
                  <w:r>
                    <w:rPr>
                      <w:rFonts w:asciiTheme="majorEastAsia" w:eastAsiaTheme="majorEastAsia" w:hAnsiTheme="majorEastAsia" w:hint="eastAsia"/>
                      <w:sz w:val="18"/>
                      <w:szCs w:val="18"/>
                    </w:rPr>
                    <w:t>（万元）</w:t>
                  </w:r>
                </w:p>
              </w:txbxContent>
            </v:textbox>
          </v:rect>
        </w:pict>
      </w:r>
      <w:r>
        <w:rPr>
          <w:rFonts w:ascii="仿宋_GB2312" w:eastAsia="仿宋_GB2312" w:hAnsi="黑体"/>
          <w:sz w:val="30"/>
          <w:szCs w:val="30"/>
        </w:rPr>
        <w:pict>
          <v:rect id="_x0000_s1028" style="position:absolute;left:0;text-align:left;margin-left:207pt;margin-top:20.6pt;width:21.4pt;height:45.8pt;z-index:251659264;mso-width-relative:page;mso-height-relative:page" strokecolor="white">
            <v:textbox style="layout-flow:vertical-ideographic;mso-next-textbox:#_x0000_s1028" inset="0,0,0,0">
              <w:txbxContent>
                <w:p w:rsidR="00242A2A" w:rsidRDefault="00242A2A">
                  <w:pPr>
                    <w:rPr>
                      <w:rFonts w:asciiTheme="majorEastAsia" w:eastAsiaTheme="majorEastAsia" w:hAnsiTheme="majorEastAsia"/>
                      <w:sz w:val="18"/>
                      <w:szCs w:val="18"/>
                    </w:rPr>
                  </w:pPr>
                  <w:r>
                    <w:rPr>
                      <w:rFonts w:asciiTheme="majorEastAsia" w:eastAsiaTheme="majorEastAsia" w:hAnsiTheme="majorEastAsia" w:hint="eastAsia"/>
                      <w:sz w:val="18"/>
                      <w:szCs w:val="18"/>
                    </w:rPr>
                    <w:t>（万元）</w:t>
                  </w:r>
                </w:p>
              </w:txbxContent>
            </v:textbox>
          </v:rect>
        </w:pict>
      </w:r>
    </w:p>
    <w:p w:rsidR="006459DE" w:rsidRDefault="00242A2A">
      <w:pPr>
        <w:ind w:firstLineChars="50" w:firstLine="150"/>
        <w:jc w:val="center"/>
        <w:rPr>
          <w:rFonts w:ascii="仿宋_GB2312" w:eastAsia="仿宋_GB2312" w:hAnsi="黑体"/>
          <w:sz w:val="30"/>
          <w:szCs w:val="30"/>
        </w:rPr>
      </w:pPr>
      <w:r>
        <w:rPr>
          <w:rFonts w:ascii="仿宋_GB2312" w:eastAsia="仿宋_GB2312" w:hAnsi="黑体" w:hint="eastAsia"/>
          <w:noProof/>
          <w:sz w:val="30"/>
          <w:szCs w:val="30"/>
        </w:rPr>
        <w:drawing>
          <wp:inline distT="0" distB="0" distL="0" distR="0" wp14:anchorId="3D245084" wp14:editId="3531BA7C">
            <wp:extent cx="2480310" cy="14712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l="1332" t="1412" r="1330" b="2420"/>
                    <a:stretch>
                      <a:fillRect/>
                    </a:stretch>
                  </pic:blipFill>
                  <pic:spPr>
                    <a:xfrm>
                      <a:off x="0" y="0"/>
                      <a:ext cx="2480938" cy="1471899"/>
                    </a:xfrm>
                    <a:prstGeom prst="rect">
                      <a:avLst/>
                    </a:prstGeom>
                    <a:noFill/>
                    <a:ln>
                      <a:noFill/>
                    </a:ln>
                  </pic:spPr>
                </pic:pic>
              </a:graphicData>
            </a:graphic>
          </wp:inline>
        </w:drawing>
      </w:r>
      <w:r>
        <w:rPr>
          <w:rFonts w:ascii="仿宋_GB2312" w:eastAsia="仿宋_GB2312" w:hAnsi="黑体" w:hint="eastAsia"/>
          <w:noProof/>
          <w:sz w:val="30"/>
          <w:szCs w:val="30"/>
        </w:rPr>
        <w:drawing>
          <wp:inline distT="0" distB="0" distL="0" distR="0" wp14:anchorId="4FCBFB6A" wp14:editId="5F78FF93">
            <wp:extent cx="2526665" cy="1498600"/>
            <wp:effectExtent l="1905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l="1212" t="2015" r="1208" b="1612"/>
                    <a:stretch>
                      <a:fillRect/>
                    </a:stretch>
                  </pic:blipFill>
                  <pic:spPr>
                    <a:xfrm>
                      <a:off x="0" y="0"/>
                      <a:ext cx="2526665" cy="1498600"/>
                    </a:xfrm>
                    <a:prstGeom prst="rect">
                      <a:avLst/>
                    </a:prstGeom>
                    <a:noFill/>
                    <a:ln>
                      <a:noFill/>
                    </a:ln>
                  </pic:spPr>
                </pic:pic>
              </a:graphicData>
            </a:graphic>
          </wp:inline>
        </w:drawing>
      </w:r>
    </w:p>
    <w:p w:rsidR="006459DE" w:rsidRDefault="00242A2A">
      <w:pPr>
        <w:spacing w:line="560" w:lineRule="exact"/>
        <w:ind w:firstLineChars="200" w:firstLine="458"/>
        <w:rPr>
          <w:rFonts w:asciiTheme="majorEastAsia" w:eastAsiaTheme="majorEastAsia" w:hAnsiTheme="majorEastAsia"/>
          <w:b/>
          <w:spacing w:val="-6"/>
          <w:sz w:val="24"/>
          <w:szCs w:val="24"/>
        </w:rPr>
      </w:pPr>
      <w:r>
        <w:rPr>
          <w:rFonts w:asciiTheme="majorEastAsia" w:eastAsiaTheme="majorEastAsia" w:hAnsiTheme="majorEastAsia" w:hint="eastAsia"/>
          <w:b/>
          <w:spacing w:val="-6"/>
          <w:sz w:val="24"/>
          <w:szCs w:val="24"/>
        </w:rPr>
        <w:t>图2-3  2014-2016年教学经费</w:t>
      </w:r>
      <w:r w:rsidR="00BA1FEC">
        <w:rPr>
          <w:rFonts w:asciiTheme="majorEastAsia" w:eastAsiaTheme="majorEastAsia" w:hAnsiTheme="majorEastAsia" w:hint="eastAsia"/>
          <w:b/>
          <w:spacing w:val="-6"/>
          <w:sz w:val="24"/>
          <w:szCs w:val="24"/>
        </w:rPr>
        <w:t>总</w:t>
      </w:r>
      <w:r>
        <w:rPr>
          <w:rFonts w:asciiTheme="majorEastAsia" w:eastAsiaTheme="majorEastAsia" w:hAnsiTheme="majorEastAsia" w:hint="eastAsia"/>
          <w:b/>
          <w:spacing w:val="-6"/>
          <w:sz w:val="24"/>
          <w:szCs w:val="24"/>
        </w:rPr>
        <w:t>支出</w:t>
      </w:r>
      <w:r w:rsidR="00BA1FEC">
        <w:rPr>
          <w:rFonts w:asciiTheme="majorEastAsia" w:eastAsiaTheme="majorEastAsia" w:hAnsiTheme="majorEastAsia" w:hint="eastAsia"/>
          <w:b/>
          <w:spacing w:val="-6"/>
          <w:sz w:val="24"/>
          <w:szCs w:val="24"/>
        </w:rPr>
        <w:t xml:space="preserve">    </w:t>
      </w:r>
      <w:r>
        <w:rPr>
          <w:rFonts w:asciiTheme="majorEastAsia" w:eastAsiaTheme="majorEastAsia" w:hAnsiTheme="majorEastAsia" w:hint="eastAsia"/>
          <w:b/>
          <w:spacing w:val="-6"/>
          <w:sz w:val="24"/>
          <w:szCs w:val="24"/>
        </w:rPr>
        <w:t>图2-4  2014-2016年教学日常</w:t>
      </w:r>
      <w:r w:rsidR="00BA1FEC">
        <w:rPr>
          <w:rFonts w:asciiTheme="majorEastAsia" w:eastAsiaTheme="majorEastAsia" w:hAnsiTheme="majorEastAsia" w:hint="eastAsia"/>
          <w:b/>
          <w:spacing w:val="-6"/>
          <w:sz w:val="24"/>
          <w:szCs w:val="24"/>
        </w:rPr>
        <w:t>运行费</w:t>
      </w:r>
      <w:r>
        <w:rPr>
          <w:rFonts w:asciiTheme="majorEastAsia" w:eastAsiaTheme="majorEastAsia" w:hAnsiTheme="majorEastAsia" w:hint="eastAsia"/>
          <w:b/>
          <w:spacing w:val="-6"/>
          <w:sz w:val="24"/>
          <w:szCs w:val="24"/>
        </w:rPr>
        <w:t>支出</w:t>
      </w:r>
    </w:p>
    <w:p w:rsidR="006459DE" w:rsidRDefault="00242A2A">
      <w:pPr>
        <w:spacing w:line="560" w:lineRule="exact"/>
        <w:ind w:firstLineChars="200" w:firstLine="576"/>
        <w:rPr>
          <w:rFonts w:ascii="仿宋_GB2312" w:eastAsia="仿宋_GB2312" w:hAnsi="黑体"/>
          <w:spacing w:val="-6"/>
          <w:sz w:val="30"/>
          <w:szCs w:val="30"/>
        </w:rPr>
      </w:pPr>
      <w:r>
        <w:rPr>
          <w:rFonts w:ascii="仿宋_GB2312" w:eastAsia="仿宋_GB2312" w:hAnsi="黑体" w:hint="eastAsia"/>
          <w:spacing w:val="-6"/>
          <w:sz w:val="30"/>
          <w:szCs w:val="30"/>
        </w:rPr>
        <w:t>学校加大“奖、助、贷、免”力度，探索资助育人长效机制。设有国家</w:t>
      </w:r>
      <w:r>
        <w:rPr>
          <w:rFonts w:ascii="仿宋_GB2312" w:eastAsia="仿宋_GB2312" w:hAnsi="黑体" w:hint="eastAsia"/>
          <w:spacing w:val="6"/>
          <w:sz w:val="30"/>
          <w:szCs w:val="30"/>
        </w:rPr>
        <w:t>奖学金、国家励志奖学金、国家助学金、校长奖学金及其他类奖助学金。2016-2017学年，学校共向本</w:t>
      </w:r>
      <w:r>
        <w:rPr>
          <w:rFonts w:ascii="仿宋_GB2312" w:eastAsia="仿宋_GB2312" w:hAnsi="黑体" w:hint="eastAsia"/>
          <w:spacing w:val="-6"/>
          <w:sz w:val="30"/>
          <w:szCs w:val="30"/>
        </w:rPr>
        <w:t>科生发放奖助学金4,747.49万元，受惠本科生达25,655人（次）。</w:t>
      </w:r>
    </w:p>
    <w:p w:rsidR="006459DE" w:rsidRDefault="00242A2A">
      <w:pPr>
        <w:pStyle w:val="3"/>
        <w:spacing w:before="62" w:after="62"/>
      </w:pPr>
      <w:r>
        <w:rPr>
          <w:rFonts w:hint="eastAsia"/>
        </w:rPr>
        <w:t>表2-</w:t>
      </w:r>
      <w:r w:rsidR="00BA1FEC">
        <w:rPr>
          <w:rFonts w:hint="eastAsia"/>
        </w:rPr>
        <w:t>1</w:t>
      </w:r>
      <w:r>
        <w:rPr>
          <w:rFonts w:hint="eastAsia"/>
        </w:rPr>
        <w:t xml:space="preserve"> 学校资助金额及资助学生数（人次）</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29"/>
        <w:gridCol w:w="2913"/>
        <w:gridCol w:w="2461"/>
      </w:tblGrid>
      <w:tr w:rsidR="006459DE" w:rsidTr="00785047">
        <w:trPr>
          <w:trHeight w:hRule="exact" w:val="397"/>
          <w:jc w:val="center"/>
        </w:trPr>
        <w:tc>
          <w:tcPr>
            <w:tcW w:w="3629" w:type="dxa"/>
            <w:shd w:val="clear" w:color="auto" w:fill="FBD4B4" w:themeFill="accent6" w:themeFillTint="66"/>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b/>
                <w:bCs/>
                <w:szCs w:val="21"/>
              </w:rPr>
              <w:t>项目</w:t>
            </w:r>
          </w:p>
        </w:tc>
        <w:tc>
          <w:tcPr>
            <w:tcW w:w="2913" w:type="dxa"/>
            <w:shd w:val="clear" w:color="auto" w:fill="FBD4B4" w:themeFill="accent6" w:themeFillTint="66"/>
            <w:vAlign w:val="center"/>
          </w:tcPr>
          <w:p w:rsidR="006459DE" w:rsidRDefault="00242A2A">
            <w:pPr>
              <w:jc w:val="center"/>
              <w:rPr>
                <w:rFonts w:ascii="Times New Roman" w:eastAsia="宋体" w:hAnsi="Times New Roman" w:cs="Times New Roman"/>
                <w:b/>
                <w:bCs/>
                <w:szCs w:val="21"/>
              </w:rPr>
            </w:pPr>
            <w:r>
              <w:rPr>
                <w:rFonts w:ascii="Times New Roman" w:eastAsia="宋体" w:hAnsi="Times New Roman" w:cs="Times New Roman"/>
                <w:b/>
                <w:bCs/>
                <w:szCs w:val="21"/>
              </w:rPr>
              <w:t>资助金额（万元）</w:t>
            </w:r>
          </w:p>
        </w:tc>
        <w:tc>
          <w:tcPr>
            <w:tcW w:w="2461" w:type="dxa"/>
            <w:shd w:val="clear" w:color="auto" w:fill="FBD4B4" w:themeFill="accent6" w:themeFillTint="66"/>
            <w:vAlign w:val="center"/>
          </w:tcPr>
          <w:p w:rsidR="006459DE" w:rsidRDefault="00242A2A">
            <w:pPr>
              <w:jc w:val="center"/>
              <w:rPr>
                <w:rFonts w:ascii="Times New Roman" w:eastAsia="宋体" w:hAnsi="Times New Roman" w:cs="Times New Roman"/>
                <w:b/>
                <w:bCs/>
                <w:szCs w:val="21"/>
              </w:rPr>
            </w:pPr>
            <w:r>
              <w:rPr>
                <w:rFonts w:ascii="Times New Roman" w:eastAsia="宋体" w:hAnsi="Times New Roman" w:cs="Times New Roman"/>
                <w:b/>
                <w:bCs/>
                <w:szCs w:val="21"/>
              </w:rPr>
              <w:t>资助学生数（人次）</w:t>
            </w:r>
          </w:p>
        </w:tc>
      </w:tr>
      <w:tr w:rsidR="006459DE" w:rsidTr="00785047">
        <w:trPr>
          <w:trHeight w:hRule="exact" w:val="397"/>
          <w:jc w:val="center"/>
        </w:trPr>
        <w:tc>
          <w:tcPr>
            <w:tcW w:w="3629"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bCs/>
                <w:szCs w:val="21"/>
              </w:rPr>
              <w:t>政府奖、助学金</w:t>
            </w:r>
          </w:p>
        </w:tc>
        <w:tc>
          <w:tcPr>
            <w:tcW w:w="2913"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524.00</w:t>
            </w:r>
          </w:p>
        </w:tc>
        <w:tc>
          <w:tcPr>
            <w:tcW w:w="2461"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hint="eastAsia"/>
                <w:szCs w:val="21"/>
              </w:rPr>
              <w:t>,</w:t>
            </w:r>
            <w:r>
              <w:rPr>
                <w:rFonts w:ascii="Times New Roman" w:eastAsia="宋体" w:hAnsi="Times New Roman" w:cs="Times New Roman"/>
                <w:szCs w:val="21"/>
              </w:rPr>
              <w:t>801</w:t>
            </w:r>
          </w:p>
        </w:tc>
      </w:tr>
      <w:tr w:rsidR="006459DE" w:rsidTr="00785047">
        <w:trPr>
          <w:trHeight w:hRule="exact" w:val="397"/>
          <w:jc w:val="center"/>
        </w:trPr>
        <w:tc>
          <w:tcPr>
            <w:tcW w:w="3629"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bCs/>
                <w:szCs w:val="21"/>
              </w:rPr>
              <w:t>社会奖助学金</w:t>
            </w:r>
          </w:p>
        </w:tc>
        <w:tc>
          <w:tcPr>
            <w:tcW w:w="2913"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778.19</w:t>
            </w:r>
          </w:p>
        </w:tc>
        <w:tc>
          <w:tcPr>
            <w:tcW w:w="2461"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213</w:t>
            </w:r>
          </w:p>
        </w:tc>
      </w:tr>
      <w:tr w:rsidR="006459DE" w:rsidTr="00785047">
        <w:trPr>
          <w:trHeight w:hRule="exact" w:val="397"/>
          <w:jc w:val="center"/>
        </w:trPr>
        <w:tc>
          <w:tcPr>
            <w:tcW w:w="3629"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bCs/>
                <w:szCs w:val="21"/>
              </w:rPr>
              <w:t>学校奖学金</w:t>
            </w:r>
          </w:p>
        </w:tc>
        <w:tc>
          <w:tcPr>
            <w:tcW w:w="2913"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023.92</w:t>
            </w:r>
          </w:p>
        </w:tc>
        <w:tc>
          <w:tcPr>
            <w:tcW w:w="2461"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szCs w:val="21"/>
              </w:rPr>
              <w:t>540</w:t>
            </w:r>
          </w:p>
        </w:tc>
      </w:tr>
      <w:tr w:rsidR="006459DE" w:rsidTr="00785047">
        <w:trPr>
          <w:trHeight w:hRule="exact" w:val="397"/>
          <w:jc w:val="center"/>
        </w:trPr>
        <w:tc>
          <w:tcPr>
            <w:tcW w:w="3629"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bCs/>
                <w:szCs w:val="21"/>
              </w:rPr>
              <w:t>国家助学贷款</w:t>
            </w:r>
          </w:p>
        </w:tc>
        <w:tc>
          <w:tcPr>
            <w:tcW w:w="2913"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136.00</w:t>
            </w:r>
          </w:p>
        </w:tc>
        <w:tc>
          <w:tcPr>
            <w:tcW w:w="2461"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220</w:t>
            </w:r>
          </w:p>
        </w:tc>
      </w:tr>
      <w:tr w:rsidR="006459DE" w:rsidTr="00785047">
        <w:trPr>
          <w:trHeight w:hRule="exact" w:val="397"/>
          <w:jc w:val="center"/>
        </w:trPr>
        <w:tc>
          <w:tcPr>
            <w:tcW w:w="3629"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bCs/>
                <w:szCs w:val="21"/>
              </w:rPr>
              <w:t>勤工助学金</w:t>
            </w:r>
          </w:p>
        </w:tc>
        <w:tc>
          <w:tcPr>
            <w:tcW w:w="2913"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171.84</w:t>
            </w:r>
          </w:p>
        </w:tc>
        <w:tc>
          <w:tcPr>
            <w:tcW w:w="2461"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8</w:t>
            </w:r>
            <w:r>
              <w:rPr>
                <w:rFonts w:ascii="Times New Roman" w:eastAsia="宋体" w:hAnsi="Times New Roman" w:cs="Times New Roman" w:hint="eastAsia"/>
                <w:szCs w:val="21"/>
              </w:rPr>
              <w:t>,</w:t>
            </w:r>
            <w:r>
              <w:rPr>
                <w:rFonts w:ascii="Times New Roman" w:eastAsia="宋体" w:hAnsi="Times New Roman" w:cs="Times New Roman"/>
                <w:szCs w:val="21"/>
              </w:rPr>
              <w:t>592</w:t>
            </w:r>
          </w:p>
        </w:tc>
      </w:tr>
      <w:tr w:rsidR="006459DE" w:rsidTr="00785047">
        <w:trPr>
          <w:trHeight w:hRule="exact" w:val="397"/>
          <w:jc w:val="center"/>
        </w:trPr>
        <w:tc>
          <w:tcPr>
            <w:tcW w:w="3629" w:type="dxa"/>
            <w:shd w:val="clear" w:color="auto" w:fill="FDE9D9" w:themeFill="accent6" w:themeFillTint="33"/>
            <w:vAlign w:val="center"/>
          </w:tcPr>
          <w:p w:rsidR="006459DE" w:rsidRDefault="00242A2A">
            <w:pPr>
              <w:jc w:val="center"/>
              <w:rPr>
                <w:rFonts w:ascii="Times New Roman" w:eastAsia="宋体" w:hAnsi="Times New Roman" w:cs="Times New Roman"/>
                <w:bCs/>
                <w:szCs w:val="21"/>
              </w:rPr>
            </w:pPr>
            <w:r>
              <w:rPr>
                <w:rFonts w:ascii="Times New Roman" w:eastAsia="宋体" w:hAnsi="Times New Roman" w:cs="Times New Roman"/>
                <w:bCs/>
                <w:szCs w:val="21"/>
              </w:rPr>
              <w:t>减免学费</w:t>
            </w:r>
          </w:p>
        </w:tc>
        <w:tc>
          <w:tcPr>
            <w:tcW w:w="2913"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21.67</w:t>
            </w:r>
          </w:p>
        </w:tc>
        <w:tc>
          <w:tcPr>
            <w:tcW w:w="2461"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46</w:t>
            </w:r>
          </w:p>
        </w:tc>
      </w:tr>
      <w:tr w:rsidR="006459DE" w:rsidTr="00785047">
        <w:trPr>
          <w:trHeight w:hRule="exact" w:val="397"/>
          <w:jc w:val="center"/>
        </w:trPr>
        <w:tc>
          <w:tcPr>
            <w:tcW w:w="3629" w:type="dxa"/>
            <w:vAlign w:val="center"/>
          </w:tcPr>
          <w:p w:rsidR="006459DE" w:rsidRDefault="00242A2A">
            <w:pPr>
              <w:jc w:val="center"/>
              <w:rPr>
                <w:rFonts w:ascii="Times New Roman" w:eastAsia="宋体" w:hAnsi="Times New Roman" w:cs="Times New Roman"/>
                <w:bCs/>
                <w:szCs w:val="21"/>
              </w:rPr>
            </w:pPr>
            <w:r>
              <w:rPr>
                <w:rFonts w:ascii="Times New Roman" w:eastAsia="宋体" w:hAnsi="Times New Roman" w:cs="Times New Roman"/>
                <w:bCs/>
                <w:szCs w:val="21"/>
              </w:rPr>
              <w:t>临时困难补助</w:t>
            </w:r>
          </w:p>
        </w:tc>
        <w:tc>
          <w:tcPr>
            <w:tcW w:w="2913"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91.87</w:t>
            </w:r>
          </w:p>
        </w:tc>
        <w:tc>
          <w:tcPr>
            <w:tcW w:w="2461" w:type="dxa"/>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243</w:t>
            </w:r>
          </w:p>
        </w:tc>
      </w:tr>
      <w:tr w:rsidR="006459DE" w:rsidTr="00785047">
        <w:trPr>
          <w:trHeight w:hRule="exact" w:val="397"/>
          <w:jc w:val="center"/>
        </w:trPr>
        <w:tc>
          <w:tcPr>
            <w:tcW w:w="3629" w:type="dxa"/>
            <w:shd w:val="clear" w:color="auto" w:fill="FDE9D9" w:themeFill="accent6" w:themeFillTint="33"/>
            <w:vAlign w:val="center"/>
          </w:tcPr>
          <w:p w:rsidR="006459DE" w:rsidRDefault="00242A2A">
            <w:pPr>
              <w:jc w:val="center"/>
              <w:rPr>
                <w:rFonts w:ascii="Times New Roman" w:eastAsia="宋体" w:hAnsi="Times New Roman" w:cs="Times New Roman"/>
                <w:bCs/>
                <w:szCs w:val="21"/>
              </w:rPr>
            </w:pPr>
            <w:r>
              <w:rPr>
                <w:rFonts w:ascii="Times New Roman" w:eastAsia="宋体" w:hAnsi="Times New Roman" w:cs="Times New Roman" w:hint="eastAsia"/>
                <w:bCs/>
                <w:szCs w:val="21"/>
              </w:rPr>
              <w:t>总计</w:t>
            </w:r>
          </w:p>
        </w:tc>
        <w:tc>
          <w:tcPr>
            <w:tcW w:w="2913"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szCs w:val="21"/>
              </w:rPr>
              <w:t>747.49</w:t>
            </w:r>
          </w:p>
        </w:tc>
        <w:tc>
          <w:tcPr>
            <w:tcW w:w="2461" w:type="dxa"/>
            <w:shd w:val="clear" w:color="auto" w:fill="FDE9D9" w:themeFill="accent6" w:themeFillTint="33"/>
            <w:vAlign w:val="center"/>
          </w:tcPr>
          <w:p w:rsidR="006459DE" w:rsidRDefault="00242A2A">
            <w:pPr>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hint="eastAsia"/>
                <w:szCs w:val="21"/>
              </w:rPr>
              <w:t>,</w:t>
            </w:r>
            <w:r>
              <w:rPr>
                <w:rFonts w:ascii="Times New Roman" w:eastAsia="宋体" w:hAnsi="Times New Roman" w:cs="Times New Roman"/>
                <w:szCs w:val="21"/>
              </w:rPr>
              <w:t>655</w:t>
            </w:r>
          </w:p>
        </w:tc>
      </w:tr>
    </w:tbl>
    <w:p w:rsidR="006459DE" w:rsidRPr="009D6534" w:rsidRDefault="00242A2A" w:rsidP="009D6534">
      <w:pPr>
        <w:spacing w:beforeLines="50" w:before="156" w:line="560" w:lineRule="exact"/>
        <w:ind w:firstLineChars="200" w:firstLine="602"/>
        <w:rPr>
          <w:rFonts w:ascii="仿宋" w:eastAsia="仿宋" w:hAnsi="仿宋"/>
          <w:b/>
          <w:sz w:val="30"/>
          <w:szCs w:val="30"/>
        </w:rPr>
      </w:pPr>
      <w:r w:rsidRPr="009D6534">
        <w:rPr>
          <w:rFonts w:ascii="仿宋" w:eastAsia="仿宋" w:hAnsi="仿宋" w:hint="eastAsia"/>
          <w:b/>
          <w:sz w:val="30"/>
          <w:szCs w:val="30"/>
        </w:rPr>
        <w:t>（2）</w:t>
      </w:r>
      <w:r w:rsidR="00EE0B99" w:rsidRPr="009D6534">
        <w:rPr>
          <w:rFonts w:ascii="仿宋" w:eastAsia="仿宋" w:hAnsi="仿宋" w:hint="eastAsia"/>
          <w:b/>
          <w:sz w:val="30"/>
          <w:szCs w:val="30"/>
        </w:rPr>
        <w:t>校舍</w:t>
      </w:r>
      <w:r w:rsidRPr="009D6534">
        <w:rPr>
          <w:rFonts w:ascii="仿宋" w:eastAsia="仿宋" w:hAnsi="仿宋" w:hint="eastAsia"/>
          <w:b/>
          <w:sz w:val="30"/>
          <w:szCs w:val="30"/>
        </w:rPr>
        <w:t>状况</w:t>
      </w:r>
    </w:p>
    <w:p w:rsidR="006F588A" w:rsidRDefault="00242A2A" w:rsidP="006F588A">
      <w:pPr>
        <w:pStyle w:val="a6"/>
        <w:topLinePunct/>
        <w:spacing w:before="0" w:beforeAutospacing="0" w:after="0" w:afterAutospacing="0" w:line="560" w:lineRule="exact"/>
        <w:ind w:firstLineChars="200" w:firstLine="600"/>
        <w:rPr>
          <w:rFonts w:ascii="仿宋_GB2312" w:eastAsia="仿宋_GB2312" w:hAnsi="黑体" w:cstheme="minorBidi"/>
          <w:sz w:val="30"/>
          <w:szCs w:val="30"/>
        </w:rPr>
      </w:pPr>
      <w:r>
        <w:rPr>
          <w:rFonts w:ascii="仿宋_GB2312" w:eastAsia="仿宋_GB2312" w:hAnsi="黑体" w:cstheme="minorBidi" w:hint="eastAsia"/>
          <w:sz w:val="30"/>
          <w:szCs w:val="30"/>
        </w:rPr>
        <w:t>学校校园占地面积5,657</w:t>
      </w:r>
      <w:r>
        <w:rPr>
          <w:rFonts w:ascii="仿宋_GB2312" w:eastAsia="仿宋_GB2312" w:hAnsi="黑体" w:cstheme="minorBidi"/>
          <w:sz w:val="30"/>
          <w:szCs w:val="30"/>
        </w:rPr>
        <w:t>.</w:t>
      </w:r>
      <w:r>
        <w:rPr>
          <w:rFonts w:ascii="仿宋_GB2312" w:eastAsia="仿宋_GB2312" w:hAnsi="黑体" w:cstheme="minorBidi" w:hint="eastAsia"/>
          <w:sz w:val="30"/>
          <w:szCs w:val="30"/>
        </w:rPr>
        <w:t>18亩，建筑面积125.07万</w:t>
      </w:r>
      <w:r w:rsidR="00EE0B99" w:rsidRPr="00EE0B99">
        <w:rPr>
          <w:rFonts w:ascii="仿宋_GB2312" w:eastAsia="仿宋_GB2312" w:hAnsi="黑体" w:cstheme="minorBidi"/>
          <w:sz w:val="30"/>
          <w:szCs w:val="30"/>
        </w:rPr>
        <w:t>m</w:t>
      </w:r>
      <w:r w:rsidR="00EE0B99" w:rsidRPr="009D6534">
        <w:rPr>
          <w:rFonts w:ascii="仿宋_GB2312" w:eastAsia="仿宋_GB2312" w:hAnsi="黑体" w:cstheme="minorBidi"/>
          <w:sz w:val="30"/>
          <w:szCs w:val="30"/>
          <w:vertAlign w:val="superscript"/>
        </w:rPr>
        <w:t>2</w:t>
      </w:r>
      <w:r>
        <w:rPr>
          <w:rFonts w:ascii="仿宋_GB2312" w:eastAsia="仿宋_GB2312" w:hAnsi="黑体" w:cstheme="minorBidi" w:hint="eastAsia"/>
          <w:sz w:val="30"/>
          <w:szCs w:val="30"/>
        </w:rPr>
        <w:t>，布局和谐统一，绿化、美化、亮化成效显著，享有“生态园林式</w:t>
      </w:r>
      <w:r>
        <w:rPr>
          <w:rFonts w:ascii="仿宋_GB2312" w:eastAsia="仿宋_GB2312" w:hAnsi="黑体" w:cstheme="minorBidi" w:hint="eastAsia"/>
          <w:spacing w:val="6"/>
          <w:sz w:val="30"/>
          <w:szCs w:val="30"/>
        </w:rPr>
        <w:t>大学城”美誉。现有教学行政用房663,477.43</w:t>
      </w:r>
      <w:r w:rsidR="00EE0B99">
        <w:rPr>
          <w:rFonts w:ascii="Calibri" w:eastAsia="仿宋_GB2312"/>
          <w:sz w:val="30"/>
          <w:szCs w:val="30"/>
        </w:rPr>
        <w:t>m</w:t>
      </w:r>
      <w:r w:rsidR="00EE0B99">
        <w:rPr>
          <w:rFonts w:ascii="Calibri" w:eastAsia="仿宋_GB2312"/>
          <w:sz w:val="30"/>
          <w:szCs w:val="30"/>
          <w:vertAlign w:val="superscript"/>
        </w:rPr>
        <w:t>2</w:t>
      </w:r>
      <w:r>
        <w:rPr>
          <w:rFonts w:ascii="仿宋_GB2312" w:eastAsia="仿宋_GB2312" w:hAnsi="黑体" w:cstheme="minorBidi" w:hint="eastAsia"/>
          <w:spacing w:val="6"/>
          <w:sz w:val="30"/>
          <w:szCs w:val="30"/>
        </w:rPr>
        <w:t>，生均22.92</w:t>
      </w:r>
      <w:r w:rsidR="00EE0B99">
        <w:rPr>
          <w:rFonts w:ascii="Calibri" w:eastAsia="仿宋_GB2312"/>
          <w:sz w:val="30"/>
          <w:szCs w:val="30"/>
        </w:rPr>
        <w:t>m</w:t>
      </w:r>
      <w:r w:rsidR="00EE0B99">
        <w:rPr>
          <w:rFonts w:ascii="Calibri" w:eastAsia="仿宋_GB2312"/>
          <w:sz w:val="30"/>
          <w:szCs w:val="30"/>
          <w:vertAlign w:val="superscript"/>
        </w:rPr>
        <w:t>2</w:t>
      </w:r>
      <w:r>
        <w:rPr>
          <w:rFonts w:ascii="仿宋_GB2312" w:eastAsia="仿宋_GB2312" w:hAnsi="黑体" w:cstheme="minorBidi" w:hint="eastAsia"/>
          <w:spacing w:val="6"/>
          <w:sz w:val="30"/>
          <w:szCs w:val="30"/>
        </w:rPr>
        <w:t>；教学实验用房</w:t>
      </w:r>
      <w:r>
        <w:rPr>
          <w:rFonts w:ascii="仿宋_GB2312" w:eastAsia="仿宋_GB2312" w:hAnsi="黑体" w:cstheme="minorBidi"/>
          <w:spacing w:val="6"/>
          <w:sz w:val="30"/>
          <w:szCs w:val="30"/>
        </w:rPr>
        <w:t>187</w:t>
      </w:r>
      <w:r>
        <w:rPr>
          <w:rFonts w:ascii="仿宋_GB2312" w:eastAsia="仿宋_GB2312" w:hAnsi="黑体" w:cstheme="minorBidi" w:hint="eastAsia"/>
          <w:spacing w:val="6"/>
          <w:sz w:val="30"/>
          <w:szCs w:val="30"/>
        </w:rPr>
        <w:t>,339</w:t>
      </w:r>
      <w:r>
        <w:rPr>
          <w:rFonts w:ascii="仿宋_GB2312" w:eastAsia="仿宋_GB2312" w:hAnsi="黑体" w:cstheme="minorBidi"/>
          <w:spacing w:val="6"/>
          <w:sz w:val="30"/>
          <w:szCs w:val="30"/>
        </w:rPr>
        <w:t>.</w:t>
      </w:r>
      <w:r>
        <w:rPr>
          <w:rFonts w:ascii="仿宋_GB2312" w:eastAsia="仿宋_GB2312" w:hAnsi="黑体" w:cstheme="minorBidi" w:hint="eastAsia"/>
          <w:spacing w:val="6"/>
          <w:sz w:val="30"/>
          <w:szCs w:val="30"/>
        </w:rPr>
        <w:t>36</w:t>
      </w:r>
      <w:r w:rsidR="00EE0B99">
        <w:rPr>
          <w:rFonts w:ascii="Calibri" w:eastAsia="仿宋_GB2312"/>
          <w:sz w:val="30"/>
          <w:szCs w:val="30"/>
        </w:rPr>
        <w:t>m</w:t>
      </w:r>
      <w:r w:rsidR="00EE0B99">
        <w:rPr>
          <w:rFonts w:ascii="Calibri" w:eastAsia="仿宋_GB2312"/>
          <w:sz w:val="30"/>
          <w:szCs w:val="30"/>
          <w:vertAlign w:val="superscript"/>
        </w:rPr>
        <w:t>2</w:t>
      </w:r>
      <w:r>
        <w:rPr>
          <w:rFonts w:ascii="仿宋_GB2312" w:eastAsia="仿宋_GB2312" w:hAnsi="黑体" w:cstheme="minorBidi" w:hint="eastAsia"/>
          <w:spacing w:val="6"/>
          <w:sz w:val="30"/>
          <w:szCs w:val="30"/>
        </w:rPr>
        <w:t>，生</w:t>
      </w:r>
      <w:r>
        <w:rPr>
          <w:rFonts w:ascii="仿宋_GB2312" w:eastAsia="仿宋_GB2312" w:hAnsi="黑体" w:cstheme="minorBidi" w:hint="eastAsia"/>
          <w:sz w:val="30"/>
          <w:szCs w:val="30"/>
        </w:rPr>
        <w:t>均5.37</w:t>
      </w:r>
      <w:r w:rsidR="00EE0B99">
        <w:rPr>
          <w:rFonts w:ascii="Calibri" w:eastAsia="仿宋_GB2312"/>
          <w:sz w:val="30"/>
          <w:szCs w:val="30"/>
        </w:rPr>
        <w:t>m</w:t>
      </w:r>
      <w:r w:rsidR="00EE0B99">
        <w:rPr>
          <w:rFonts w:ascii="Calibri" w:eastAsia="仿宋_GB2312"/>
          <w:sz w:val="30"/>
          <w:szCs w:val="30"/>
          <w:vertAlign w:val="superscript"/>
        </w:rPr>
        <w:t>2</w:t>
      </w:r>
      <w:r>
        <w:rPr>
          <w:rFonts w:ascii="仿宋_GB2312" w:eastAsia="仿宋_GB2312" w:hAnsi="黑体" w:cstheme="minorBidi" w:hint="eastAsia"/>
          <w:sz w:val="30"/>
          <w:szCs w:val="30"/>
        </w:rPr>
        <w:t>。</w:t>
      </w:r>
    </w:p>
    <w:p w:rsidR="006F588A" w:rsidRDefault="006F588A" w:rsidP="006F588A">
      <w:pPr>
        <w:pStyle w:val="a6"/>
        <w:topLinePunct/>
        <w:spacing w:before="0" w:beforeAutospacing="0" w:after="0" w:afterAutospacing="0" w:line="560" w:lineRule="exact"/>
        <w:ind w:firstLineChars="200" w:firstLine="600"/>
        <w:rPr>
          <w:rFonts w:ascii="仿宋_GB2312" w:eastAsia="仿宋_GB2312" w:hAnsi="黑体" w:cstheme="minorBidi"/>
          <w:sz w:val="30"/>
          <w:szCs w:val="30"/>
        </w:rPr>
      </w:pPr>
      <w:r>
        <w:rPr>
          <w:rFonts w:ascii="仿宋_GB2312" w:eastAsia="仿宋_GB2312" w:hAnsi="黑体" w:cstheme="minorBidi"/>
          <w:sz w:val="30"/>
          <w:szCs w:val="30"/>
        </w:rPr>
        <w:t>学校</w:t>
      </w:r>
      <w:r>
        <w:rPr>
          <w:rFonts w:ascii="仿宋_GB2312" w:eastAsia="仿宋_GB2312" w:hAnsi="黑体" w:cstheme="minorBidi" w:hint="eastAsia"/>
          <w:sz w:val="30"/>
          <w:szCs w:val="30"/>
        </w:rPr>
        <w:t>教室类型齐全，数量能够满足教学基本需要。现</w:t>
      </w:r>
      <w:r>
        <w:rPr>
          <w:rFonts w:ascii="仿宋_GB2312" w:eastAsia="仿宋_GB2312" w:hAnsi="黑体" w:cstheme="minorBidi"/>
          <w:sz w:val="30"/>
          <w:szCs w:val="30"/>
        </w:rPr>
        <w:t>有普通教室、多媒体教室、语音网络教室、画室、制图室、研讨室等3</w:t>
      </w:r>
      <w:r>
        <w:rPr>
          <w:rFonts w:ascii="仿宋_GB2312" w:eastAsia="仿宋_GB2312" w:hAnsi="黑体" w:cstheme="minorBidi" w:hint="eastAsia"/>
          <w:sz w:val="30"/>
          <w:szCs w:val="30"/>
        </w:rPr>
        <w:t>92</w:t>
      </w:r>
      <w:r>
        <w:rPr>
          <w:rFonts w:ascii="仿宋_GB2312" w:eastAsia="仿宋_GB2312" w:hAnsi="黑体" w:cstheme="minorBidi"/>
          <w:sz w:val="30"/>
          <w:szCs w:val="30"/>
        </w:rPr>
        <w:t>间（面积79,</w:t>
      </w:r>
      <w:r>
        <w:rPr>
          <w:rFonts w:ascii="仿宋_GB2312" w:eastAsia="仿宋_GB2312" w:hAnsi="黑体" w:cstheme="minorBidi" w:hint="eastAsia"/>
          <w:sz w:val="30"/>
          <w:szCs w:val="30"/>
        </w:rPr>
        <w:t>234</w:t>
      </w:r>
      <w:r>
        <w:rPr>
          <w:rFonts w:ascii="仿宋_GB2312" w:eastAsia="仿宋_GB2312" w:hAnsi="黑体" w:cstheme="minorBidi"/>
          <w:sz w:val="30"/>
          <w:szCs w:val="30"/>
        </w:rPr>
        <w:t>.</w:t>
      </w:r>
      <w:r>
        <w:rPr>
          <w:rFonts w:ascii="仿宋_GB2312" w:eastAsia="仿宋_GB2312" w:hAnsi="黑体" w:cstheme="minorBidi" w:hint="eastAsia"/>
          <w:sz w:val="30"/>
          <w:szCs w:val="30"/>
        </w:rPr>
        <w:t>39</w:t>
      </w:r>
      <w:r>
        <w:rPr>
          <w:rFonts w:ascii="Calibri" w:eastAsia="仿宋_GB2312"/>
          <w:sz w:val="30"/>
          <w:szCs w:val="30"/>
        </w:rPr>
        <w:t>m</w:t>
      </w:r>
      <w:r>
        <w:rPr>
          <w:rFonts w:ascii="Calibri" w:eastAsia="仿宋_GB2312"/>
          <w:sz w:val="30"/>
          <w:szCs w:val="30"/>
          <w:vertAlign w:val="superscript"/>
        </w:rPr>
        <w:t>2</w:t>
      </w:r>
      <w:r>
        <w:rPr>
          <w:rFonts w:ascii="仿宋_GB2312" w:eastAsia="仿宋_GB2312" w:hAnsi="黑体" w:cstheme="minorBidi"/>
          <w:sz w:val="30"/>
          <w:szCs w:val="30"/>
        </w:rPr>
        <w:t>），座位数3</w:t>
      </w:r>
      <w:r>
        <w:rPr>
          <w:rFonts w:ascii="仿宋_GB2312" w:eastAsia="仿宋_GB2312" w:hAnsi="黑体" w:cstheme="minorBidi" w:hint="eastAsia"/>
          <w:sz w:val="30"/>
          <w:szCs w:val="30"/>
        </w:rPr>
        <w:t>7</w:t>
      </w:r>
      <w:r>
        <w:rPr>
          <w:rFonts w:ascii="仿宋_GB2312" w:eastAsia="仿宋_GB2312" w:hAnsi="黑体" w:cstheme="minorBidi"/>
          <w:sz w:val="30"/>
          <w:szCs w:val="30"/>
        </w:rPr>
        <w:t>,</w:t>
      </w:r>
      <w:r>
        <w:rPr>
          <w:rFonts w:ascii="仿宋_GB2312" w:eastAsia="仿宋_GB2312" w:hAnsi="黑体" w:cstheme="minorBidi" w:hint="eastAsia"/>
          <w:sz w:val="30"/>
          <w:szCs w:val="30"/>
        </w:rPr>
        <w:t>399</w:t>
      </w:r>
      <w:r>
        <w:rPr>
          <w:rFonts w:ascii="仿宋_GB2312" w:eastAsia="仿宋_GB2312" w:hAnsi="黑体" w:cstheme="minorBidi"/>
          <w:sz w:val="30"/>
          <w:szCs w:val="30"/>
        </w:rPr>
        <w:t>个。其中，</w:t>
      </w:r>
      <w:r>
        <w:rPr>
          <w:rFonts w:ascii="仿宋_GB2312" w:eastAsia="仿宋_GB2312" w:hAnsi="黑体" w:cstheme="minorBidi" w:hint="eastAsia"/>
          <w:sz w:val="30"/>
          <w:szCs w:val="30"/>
        </w:rPr>
        <w:t>多媒体教室329间，座位数28,741个；语音室18间，座位数1,091个，百名学生配备多媒体教室和语音室座位数103.1个。</w:t>
      </w:r>
    </w:p>
    <w:p w:rsidR="006459DE" w:rsidRDefault="006459DE" w:rsidP="00785047">
      <w:pPr>
        <w:pStyle w:val="a6"/>
        <w:topLinePunct/>
        <w:spacing w:before="0" w:beforeAutospacing="0" w:after="0" w:afterAutospacing="0" w:line="540" w:lineRule="exact"/>
        <w:ind w:firstLineChars="200" w:firstLine="600"/>
        <w:rPr>
          <w:rFonts w:ascii="仿宋_GB2312" w:eastAsia="仿宋_GB2312" w:hAnsi="黑体" w:cstheme="minorBidi"/>
          <w:sz w:val="30"/>
          <w:szCs w:val="30"/>
        </w:rPr>
      </w:pPr>
    </w:p>
    <w:p w:rsidR="006459DE" w:rsidRDefault="00242A2A">
      <w:pPr>
        <w:pStyle w:val="3"/>
        <w:spacing w:before="62" w:after="62"/>
      </w:pPr>
      <w:r>
        <w:t>表</w:t>
      </w:r>
      <w:r>
        <w:rPr>
          <w:rFonts w:hint="eastAsia"/>
        </w:rPr>
        <w:t>2-</w:t>
      </w:r>
      <w:r w:rsidR="009D6534">
        <w:rPr>
          <w:rFonts w:hint="eastAsia"/>
        </w:rPr>
        <w:t>2</w:t>
      </w:r>
      <w:r>
        <w:rPr>
          <w:rFonts w:hint="eastAsia"/>
        </w:rPr>
        <w:t xml:space="preserve">  </w:t>
      </w:r>
      <w:r>
        <w:t>教学行政用房面积</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3446"/>
        <w:gridCol w:w="3047"/>
      </w:tblGrid>
      <w:tr w:rsidR="006459DE" w:rsidTr="00EE0B99">
        <w:trPr>
          <w:trHeight w:hRule="exact" w:val="623"/>
          <w:tblHeader/>
        </w:trPr>
        <w:tc>
          <w:tcPr>
            <w:tcW w:w="5956" w:type="dxa"/>
            <w:gridSpan w:val="2"/>
            <w:shd w:val="clear" w:color="000000" w:fill="FBD4B4"/>
            <w:vAlign w:val="center"/>
          </w:tcPr>
          <w:p w:rsidR="006459DE" w:rsidRDefault="00242A2A">
            <w:pPr>
              <w:jc w:val="center"/>
              <w:rPr>
                <w:rFonts w:ascii="Times New Roman" w:hAnsi="Times New Roman"/>
                <w:b/>
                <w:bCs/>
                <w:szCs w:val="21"/>
              </w:rPr>
            </w:pPr>
            <w:r>
              <w:rPr>
                <w:rFonts w:ascii="Times New Roman" w:hAnsi="Times New Roman"/>
                <w:b/>
                <w:bCs/>
                <w:kern w:val="0"/>
                <w:szCs w:val="21"/>
              </w:rPr>
              <w:t>项目</w:t>
            </w:r>
          </w:p>
        </w:tc>
        <w:tc>
          <w:tcPr>
            <w:tcW w:w="3047" w:type="dxa"/>
            <w:shd w:val="clear" w:color="000000" w:fill="FBD4B4"/>
            <w:vAlign w:val="center"/>
          </w:tcPr>
          <w:p w:rsidR="006459DE" w:rsidRDefault="00242A2A">
            <w:pPr>
              <w:jc w:val="center"/>
              <w:rPr>
                <w:rFonts w:ascii="Times New Roman" w:hAnsi="Times New Roman"/>
                <w:b/>
                <w:bCs/>
                <w:szCs w:val="21"/>
              </w:rPr>
            </w:pPr>
            <w:r>
              <w:rPr>
                <w:rFonts w:ascii="Times New Roman" w:hAnsi="Times New Roman"/>
                <w:b/>
                <w:bCs/>
                <w:kern w:val="0"/>
                <w:szCs w:val="21"/>
              </w:rPr>
              <w:t>面积（</w:t>
            </w:r>
            <w:r w:rsidR="00EE0B99">
              <w:rPr>
                <w:rFonts w:ascii="Calibri" w:eastAsia="仿宋_GB2312"/>
                <w:sz w:val="30"/>
                <w:szCs w:val="30"/>
              </w:rPr>
              <w:t>m</w:t>
            </w:r>
            <w:r w:rsidR="00EE0B99">
              <w:rPr>
                <w:rFonts w:ascii="Calibri" w:eastAsia="仿宋_GB2312"/>
                <w:sz w:val="30"/>
                <w:szCs w:val="30"/>
                <w:vertAlign w:val="superscript"/>
              </w:rPr>
              <w:t>2</w:t>
            </w:r>
            <w:r>
              <w:rPr>
                <w:rFonts w:ascii="Times New Roman" w:hAnsi="Times New Roman"/>
                <w:b/>
                <w:bCs/>
                <w:kern w:val="0"/>
                <w:szCs w:val="21"/>
              </w:rPr>
              <w:t>）</w:t>
            </w:r>
          </w:p>
        </w:tc>
      </w:tr>
      <w:tr w:rsidR="006459DE" w:rsidTr="00785047">
        <w:trPr>
          <w:trHeight w:hRule="exact" w:val="397"/>
        </w:trPr>
        <w:tc>
          <w:tcPr>
            <w:tcW w:w="2510" w:type="dxa"/>
            <w:vMerge w:val="restart"/>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教学科研及辅助用房</w:t>
            </w: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教室</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79</w:t>
            </w:r>
            <w:r>
              <w:rPr>
                <w:rFonts w:ascii="Times New Roman" w:hAnsi="Times New Roman" w:hint="eastAsia"/>
                <w:kern w:val="0"/>
                <w:szCs w:val="21"/>
              </w:rPr>
              <w:t>,234</w:t>
            </w:r>
            <w:r>
              <w:rPr>
                <w:rFonts w:ascii="Times New Roman" w:hAnsi="Times New Roman"/>
                <w:kern w:val="0"/>
                <w:szCs w:val="21"/>
              </w:rPr>
              <w:t>.</w:t>
            </w:r>
            <w:r>
              <w:rPr>
                <w:rFonts w:ascii="Times New Roman" w:hAnsi="Times New Roman" w:hint="eastAsia"/>
                <w:kern w:val="0"/>
                <w:szCs w:val="21"/>
              </w:rPr>
              <w:t>39</w:t>
            </w:r>
          </w:p>
        </w:tc>
      </w:tr>
      <w:tr w:rsidR="006459DE" w:rsidTr="00785047">
        <w:trPr>
          <w:trHeight w:hRule="exact" w:val="397"/>
        </w:trPr>
        <w:tc>
          <w:tcPr>
            <w:tcW w:w="2510" w:type="dxa"/>
            <w:vMerge/>
            <w:shd w:val="clear" w:color="auto" w:fill="FDE9D9"/>
            <w:vAlign w:val="center"/>
          </w:tcPr>
          <w:p w:rsidR="006459DE" w:rsidRDefault="006459DE">
            <w:pPr>
              <w:jc w:val="center"/>
              <w:rPr>
                <w:rFonts w:ascii="Times New Roman" w:hAnsi="Times New Roman"/>
                <w:szCs w:val="21"/>
              </w:rPr>
            </w:pP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图书馆</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32</w:t>
            </w:r>
            <w:r>
              <w:rPr>
                <w:rFonts w:ascii="Times New Roman" w:hAnsi="Times New Roman" w:hint="eastAsia"/>
                <w:kern w:val="0"/>
                <w:szCs w:val="21"/>
              </w:rPr>
              <w:t>,</w:t>
            </w:r>
            <w:r>
              <w:rPr>
                <w:rFonts w:ascii="Times New Roman" w:hAnsi="Times New Roman"/>
                <w:kern w:val="0"/>
                <w:szCs w:val="21"/>
              </w:rPr>
              <w:t>906.00</w:t>
            </w:r>
          </w:p>
        </w:tc>
      </w:tr>
      <w:tr w:rsidR="006459DE" w:rsidTr="00785047">
        <w:trPr>
          <w:trHeight w:hRule="exact" w:val="397"/>
        </w:trPr>
        <w:tc>
          <w:tcPr>
            <w:tcW w:w="2510" w:type="dxa"/>
            <w:vMerge/>
            <w:shd w:val="clear" w:color="auto" w:fill="FDE9D9"/>
            <w:vAlign w:val="center"/>
          </w:tcPr>
          <w:p w:rsidR="006459DE" w:rsidRDefault="006459DE">
            <w:pPr>
              <w:jc w:val="center"/>
              <w:rPr>
                <w:rFonts w:ascii="Times New Roman" w:hAnsi="Times New Roman"/>
                <w:szCs w:val="21"/>
              </w:rPr>
            </w:pP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实验室</w:t>
            </w:r>
            <w:r>
              <w:rPr>
                <w:rFonts w:ascii="Times New Roman" w:hAnsi="Times New Roman" w:hint="eastAsia"/>
                <w:kern w:val="0"/>
                <w:szCs w:val="21"/>
              </w:rPr>
              <w:t>、实习场所</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187</w:t>
            </w:r>
            <w:r>
              <w:rPr>
                <w:rFonts w:ascii="Times New Roman" w:hAnsi="Times New Roman" w:hint="eastAsia"/>
                <w:kern w:val="0"/>
                <w:szCs w:val="21"/>
              </w:rPr>
              <w:t>,339</w:t>
            </w:r>
            <w:r>
              <w:rPr>
                <w:rFonts w:ascii="Times New Roman" w:hAnsi="Times New Roman"/>
                <w:kern w:val="0"/>
                <w:szCs w:val="21"/>
              </w:rPr>
              <w:t>.</w:t>
            </w:r>
            <w:r>
              <w:rPr>
                <w:rFonts w:ascii="Times New Roman" w:hAnsi="Times New Roman" w:hint="eastAsia"/>
                <w:kern w:val="0"/>
                <w:szCs w:val="21"/>
              </w:rPr>
              <w:t>36</w:t>
            </w:r>
          </w:p>
        </w:tc>
      </w:tr>
      <w:tr w:rsidR="006459DE" w:rsidTr="00785047">
        <w:trPr>
          <w:trHeight w:hRule="exact" w:val="397"/>
        </w:trPr>
        <w:tc>
          <w:tcPr>
            <w:tcW w:w="2510" w:type="dxa"/>
            <w:vMerge/>
            <w:shd w:val="clear" w:color="auto" w:fill="FDE9D9"/>
            <w:vAlign w:val="center"/>
          </w:tcPr>
          <w:p w:rsidR="006459DE" w:rsidRDefault="006459DE">
            <w:pPr>
              <w:jc w:val="center"/>
              <w:rPr>
                <w:rFonts w:ascii="Times New Roman" w:hAnsi="Times New Roman"/>
                <w:szCs w:val="21"/>
              </w:rPr>
            </w:pP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专用科研用房</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24</w:t>
            </w:r>
            <w:r>
              <w:rPr>
                <w:rFonts w:ascii="Times New Roman" w:hAnsi="Times New Roman" w:hint="eastAsia"/>
                <w:kern w:val="0"/>
                <w:szCs w:val="21"/>
              </w:rPr>
              <w:t>9,338</w:t>
            </w:r>
            <w:r>
              <w:rPr>
                <w:rFonts w:ascii="Times New Roman" w:hAnsi="Times New Roman"/>
                <w:kern w:val="0"/>
                <w:szCs w:val="21"/>
              </w:rPr>
              <w:t>.</w:t>
            </w:r>
            <w:r>
              <w:rPr>
                <w:rFonts w:ascii="Times New Roman" w:hAnsi="Times New Roman" w:hint="eastAsia"/>
                <w:kern w:val="0"/>
                <w:szCs w:val="21"/>
              </w:rPr>
              <w:t>7</w:t>
            </w:r>
            <w:r>
              <w:rPr>
                <w:rFonts w:ascii="Times New Roman" w:hAnsi="Times New Roman"/>
                <w:kern w:val="0"/>
                <w:szCs w:val="21"/>
              </w:rPr>
              <w:t>3</w:t>
            </w:r>
          </w:p>
        </w:tc>
      </w:tr>
      <w:tr w:rsidR="006459DE" w:rsidTr="00785047">
        <w:trPr>
          <w:trHeight w:hRule="exact" w:val="397"/>
        </w:trPr>
        <w:tc>
          <w:tcPr>
            <w:tcW w:w="2510" w:type="dxa"/>
            <w:vMerge/>
            <w:shd w:val="clear" w:color="auto" w:fill="FDE9D9"/>
            <w:vAlign w:val="center"/>
          </w:tcPr>
          <w:p w:rsidR="006459DE" w:rsidRDefault="006459DE">
            <w:pPr>
              <w:jc w:val="center"/>
              <w:rPr>
                <w:rFonts w:ascii="Times New Roman" w:hAnsi="Times New Roman"/>
                <w:szCs w:val="21"/>
              </w:rPr>
            </w:pP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体育馆</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10</w:t>
            </w:r>
            <w:r>
              <w:rPr>
                <w:rFonts w:ascii="Times New Roman" w:hAnsi="Times New Roman" w:hint="eastAsia"/>
                <w:kern w:val="0"/>
                <w:szCs w:val="21"/>
              </w:rPr>
              <w:t>,</w:t>
            </w:r>
            <w:r>
              <w:rPr>
                <w:rFonts w:ascii="Times New Roman" w:hAnsi="Times New Roman"/>
                <w:kern w:val="0"/>
                <w:szCs w:val="21"/>
              </w:rPr>
              <w:t>519.27</w:t>
            </w:r>
          </w:p>
        </w:tc>
      </w:tr>
      <w:tr w:rsidR="006459DE" w:rsidTr="00785047">
        <w:trPr>
          <w:trHeight w:hRule="exact" w:val="397"/>
        </w:trPr>
        <w:tc>
          <w:tcPr>
            <w:tcW w:w="2510" w:type="dxa"/>
            <w:vMerge/>
            <w:shd w:val="clear" w:color="auto" w:fill="FDE9D9"/>
            <w:vAlign w:val="center"/>
          </w:tcPr>
          <w:p w:rsidR="006459DE" w:rsidRDefault="006459DE">
            <w:pPr>
              <w:jc w:val="center"/>
              <w:rPr>
                <w:rFonts w:ascii="Times New Roman" w:hAnsi="Times New Roman"/>
                <w:szCs w:val="21"/>
              </w:rPr>
            </w:pP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会堂</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3</w:t>
            </w:r>
            <w:r>
              <w:rPr>
                <w:rFonts w:ascii="Times New Roman" w:hAnsi="Times New Roman" w:hint="eastAsia"/>
                <w:kern w:val="0"/>
                <w:szCs w:val="21"/>
              </w:rPr>
              <w:t>,</w:t>
            </w:r>
            <w:r>
              <w:rPr>
                <w:rFonts w:ascii="Times New Roman" w:hAnsi="Times New Roman"/>
                <w:kern w:val="0"/>
                <w:szCs w:val="21"/>
              </w:rPr>
              <w:t>763.26</w:t>
            </w:r>
          </w:p>
        </w:tc>
      </w:tr>
      <w:tr w:rsidR="006459DE" w:rsidTr="00785047">
        <w:trPr>
          <w:trHeight w:hRule="exact" w:val="397"/>
        </w:trPr>
        <w:tc>
          <w:tcPr>
            <w:tcW w:w="2510" w:type="dxa"/>
            <w:vMerge/>
            <w:shd w:val="clear" w:color="auto" w:fill="FDE9D9"/>
            <w:vAlign w:val="center"/>
          </w:tcPr>
          <w:p w:rsidR="006459DE" w:rsidRDefault="006459DE">
            <w:pPr>
              <w:jc w:val="center"/>
              <w:rPr>
                <w:rFonts w:ascii="Times New Roman" w:hAnsi="Times New Roman"/>
                <w:szCs w:val="21"/>
              </w:rPr>
            </w:pPr>
          </w:p>
        </w:tc>
        <w:tc>
          <w:tcPr>
            <w:tcW w:w="3446" w:type="dxa"/>
            <w:shd w:val="clear" w:color="auto" w:fill="FDE9D9"/>
            <w:vAlign w:val="center"/>
          </w:tcPr>
          <w:p w:rsidR="006459DE" w:rsidRDefault="00242A2A">
            <w:pPr>
              <w:jc w:val="center"/>
              <w:rPr>
                <w:rFonts w:ascii="Times New Roman" w:hAnsi="Times New Roman"/>
                <w:szCs w:val="21"/>
              </w:rPr>
            </w:pPr>
            <w:r>
              <w:rPr>
                <w:rFonts w:ascii="Times New Roman" w:hAnsi="Times New Roman"/>
                <w:kern w:val="0"/>
                <w:szCs w:val="21"/>
              </w:rPr>
              <w:t>小计</w:t>
            </w:r>
          </w:p>
        </w:tc>
        <w:tc>
          <w:tcPr>
            <w:tcW w:w="3047" w:type="dxa"/>
            <w:shd w:val="clear" w:color="auto" w:fill="FDE9D9"/>
            <w:vAlign w:val="center"/>
          </w:tcPr>
          <w:p w:rsidR="006459DE" w:rsidRDefault="00242A2A">
            <w:pPr>
              <w:jc w:val="center"/>
              <w:rPr>
                <w:rFonts w:ascii="Times New Roman" w:hAnsi="Times New Roman"/>
                <w:szCs w:val="21"/>
              </w:rPr>
            </w:pPr>
            <w:r>
              <w:rPr>
                <w:rFonts w:ascii="Times New Roman" w:hAnsi="Times New Roman" w:hint="eastAsia"/>
                <w:szCs w:val="21"/>
              </w:rPr>
              <w:t>563,101</w:t>
            </w:r>
            <w:r>
              <w:rPr>
                <w:rFonts w:ascii="Times New Roman" w:hAnsi="Times New Roman"/>
                <w:szCs w:val="21"/>
              </w:rPr>
              <w:t>.</w:t>
            </w:r>
            <w:r>
              <w:rPr>
                <w:rFonts w:ascii="Times New Roman" w:hAnsi="Times New Roman" w:hint="eastAsia"/>
                <w:szCs w:val="21"/>
              </w:rPr>
              <w:t>01</w:t>
            </w:r>
          </w:p>
        </w:tc>
      </w:tr>
      <w:tr w:rsidR="006459DE" w:rsidTr="00785047">
        <w:trPr>
          <w:trHeight w:hRule="exact" w:val="397"/>
        </w:trPr>
        <w:tc>
          <w:tcPr>
            <w:tcW w:w="5956" w:type="dxa"/>
            <w:gridSpan w:val="2"/>
            <w:shd w:val="clear" w:color="auto" w:fill="auto"/>
            <w:vAlign w:val="center"/>
          </w:tcPr>
          <w:p w:rsidR="006459DE" w:rsidRDefault="00242A2A">
            <w:pPr>
              <w:jc w:val="center"/>
              <w:rPr>
                <w:rFonts w:ascii="Times New Roman" w:hAnsi="Times New Roman"/>
                <w:szCs w:val="21"/>
              </w:rPr>
            </w:pPr>
            <w:r>
              <w:rPr>
                <w:rFonts w:ascii="Times New Roman" w:hAnsi="Times New Roman"/>
                <w:kern w:val="0"/>
                <w:szCs w:val="21"/>
              </w:rPr>
              <w:t>行政办公用房</w:t>
            </w:r>
          </w:p>
        </w:tc>
        <w:tc>
          <w:tcPr>
            <w:tcW w:w="3047" w:type="dxa"/>
            <w:shd w:val="clear" w:color="auto" w:fill="auto"/>
            <w:vAlign w:val="center"/>
          </w:tcPr>
          <w:p w:rsidR="006459DE" w:rsidRDefault="00242A2A">
            <w:pPr>
              <w:jc w:val="center"/>
              <w:rPr>
                <w:rFonts w:ascii="Times New Roman" w:hAnsi="Times New Roman"/>
                <w:szCs w:val="21"/>
              </w:rPr>
            </w:pPr>
            <w:r>
              <w:rPr>
                <w:rFonts w:ascii="Times New Roman" w:hAnsi="Times New Roman"/>
                <w:kern w:val="0"/>
                <w:szCs w:val="21"/>
              </w:rPr>
              <w:t>100</w:t>
            </w:r>
            <w:r>
              <w:rPr>
                <w:rFonts w:ascii="Times New Roman" w:hAnsi="Times New Roman" w:hint="eastAsia"/>
                <w:kern w:val="0"/>
                <w:szCs w:val="21"/>
              </w:rPr>
              <w:t>,376</w:t>
            </w:r>
            <w:r>
              <w:rPr>
                <w:rFonts w:ascii="Times New Roman" w:hAnsi="Times New Roman"/>
                <w:kern w:val="0"/>
                <w:szCs w:val="21"/>
              </w:rPr>
              <w:t>.4</w:t>
            </w:r>
            <w:r>
              <w:rPr>
                <w:rFonts w:ascii="Times New Roman" w:hAnsi="Times New Roman" w:hint="eastAsia"/>
                <w:kern w:val="0"/>
                <w:szCs w:val="21"/>
              </w:rPr>
              <w:t>2</w:t>
            </w:r>
          </w:p>
        </w:tc>
      </w:tr>
      <w:tr w:rsidR="006459DE" w:rsidTr="00785047">
        <w:trPr>
          <w:trHeight w:hRule="exact" w:val="397"/>
        </w:trPr>
        <w:tc>
          <w:tcPr>
            <w:tcW w:w="5956" w:type="dxa"/>
            <w:gridSpan w:val="2"/>
            <w:shd w:val="clear" w:color="auto" w:fill="FDE9D9"/>
            <w:vAlign w:val="center"/>
          </w:tcPr>
          <w:p w:rsidR="006459DE" w:rsidRDefault="00242A2A">
            <w:pPr>
              <w:jc w:val="center"/>
              <w:rPr>
                <w:rFonts w:ascii="Times New Roman" w:hAnsi="Times New Roman"/>
                <w:b/>
                <w:szCs w:val="21"/>
              </w:rPr>
            </w:pPr>
            <w:r>
              <w:rPr>
                <w:rFonts w:ascii="Times New Roman" w:hAnsi="Times New Roman" w:hint="eastAsia"/>
                <w:b/>
                <w:kern w:val="0"/>
                <w:szCs w:val="21"/>
              </w:rPr>
              <w:t>教学行政用房</w:t>
            </w:r>
            <w:r>
              <w:rPr>
                <w:rFonts w:ascii="Times New Roman" w:hAnsi="Times New Roman"/>
                <w:b/>
                <w:kern w:val="0"/>
                <w:szCs w:val="21"/>
              </w:rPr>
              <w:t>总面积</w:t>
            </w:r>
          </w:p>
        </w:tc>
        <w:tc>
          <w:tcPr>
            <w:tcW w:w="3047" w:type="dxa"/>
            <w:shd w:val="clear" w:color="auto" w:fill="FDE9D9"/>
            <w:vAlign w:val="center"/>
          </w:tcPr>
          <w:p w:rsidR="006459DE" w:rsidRDefault="00242A2A">
            <w:pPr>
              <w:jc w:val="center"/>
              <w:rPr>
                <w:rFonts w:ascii="Times New Roman" w:hAnsi="Times New Roman"/>
                <w:b/>
                <w:szCs w:val="21"/>
              </w:rPr>
            </w:pPr>
            <w:r>
              <w:rPr>
                <w:rFonts w:ascii="Times New Roman" w:hAnsi="Times New Roman"/>
                <w:b/>
                <w:kern w:val="0"/>
                <w:szCs w:val="21"/>
              </w:rPr>
              <w:t>663,</w:t>
            </w:r>
            <w:r>
              <w:rPr>
                <w:rFonts w:ascii="Times New Roman" w:hAnsi="Times New Roman" w:hint="eastAsia"/>
                <w:b/>
                <w:kern w:val="0"/>
                <w:szCs w:val="21"/>
              </w:rPr>
              <w:t>477</w:t>
            </w:r>
            <w:r>
              <w:rPr>
                <w:rFonts w:ascii="Times New Roman" w:hAnsi="Times New Roman"/>
                <w:b/>
                <w:kern w:val="0"/>
                <w:szCs w:val="21"/>
              </w:rPr>
              <w:t>.</w:t>
            </w:r>
            <w:r>
              <w:rPr>
                <w:rFonts w:ascii="Times New Roman" w:hAnsi="Times New Roman" w:hint="eastAsia"/>
                <w:b/>
                <w:kern w:val="0"/>
                <w:szCs w:val="21"/>
              </w:rPr>
              <w:t>43</w:t>
            </w:r>
          </w:p>
        </w:tc>
      </w:tr>
      <w:tr w:rsidR="006459DE" w:rsidTr="00785047">
        <w:trPr>
          <w:trHeight w:hRule="exact" w:val="397"/>
        </w:trPr>
        <w:tc>
          <w:tcPr>
            <w:tcW w:w="5956" w:type="dxa"/>
            <w:gridSpan w:val="2"/>
            <w:shd w:val="clear" w:color="auto" w:fill="auto"/>
            <w:vAlign w:val="center"/>
          </w:tcPr>
          <w:p w:rsidR="006459DE" w:rsidRPr="009D6534" w:rsidRDefault="00242A2A">
            <w:pPr>
              <w:jc w:val="center"/>
              <w:rPr>
                <w:rFonts w:ascii="Times New Roman" w:hAnsi="Times New Roman"/>
                <w:kern w:val="0"/>
                <w:szCs w:val="21"/>
              </w:rPr>
            </w:pPr>
            <w:r>
              <w:rPr>
                <w:rFonts w:ascii="Times New Roman" w:hAnsi="Times New Roman"/>
                <w:kern w:val="0"/>
                <w:szCs w:val="21"/>
              </w:rPr>
              <w:t>生均面积（</w:t>
            </w:r>
            <w:r w:rsidR="009D6534" w:rsidRPr="009D6534">
              <w:rPr>
                <w:rFonts w:ascii="Times New Roman" w:hAnsi="Times New Roman"/>
                <w:kern w:val="0"/>
                <w:szCs w:val="21"/>
              </w:rPr>
              <w:t>m</w:t>
            </w:r>
            <w:r w:rsidR="009D6534" w:rsidRPr="009D6534">
              <w:rPr>
                <w:rFonts w:ascii="Times New Roman" w:hAnsi="Times New Roman"/>
                <w:kern w:val="0"/>
                <w:szCs w:val="21"/>
                <w:vertAlign w:val="superscript"/>
              </w:rPr>
              <w:t>2</w:t>
            </w:r>
            <w:r w:rsidR="0061574B">
              <w:rPr>
                <w:rFonts w:ascii="Times New Roman" w:hAnsi="Times New Roman" w:hint="eastAsia"/>
                <w:kern w:val="0"/>
                <w:szCs w:val="21"/>
              </w:rPr>
              <w:t>/</w:t>
            </w:r>
            <w:r w:rsidR="0061574B">
              <w:rPr>
                <w:rFonts w:ascii="Times New Roman" w:hAnsi="Times New Roman" w:hint="eastAsia"/>
                <w:kern w:val="0"/>
                <w:szCs w:val="21"/>
              </w:rPr>
              <w:t>生</w:t>
            </w:r>
            <w:r>
              <w:rPr>
                <w:rFonts w:ascii="Times New Roman" w:hAnsi="Times New Roman"/>
                <w:kern w:val="0"/>
                <w:szCs w:val="21"/>
              </w:rPr>
              <w:t>）</w:t>
            </w:r>
          </w:p>
        </w:tc>
        <w:tc>
          <w:tcPr>
            <w:tcW w:w="3047" w:type="dxa"/>
            <w:shd w:val="clear" w:color="auto" w:fill="auto"/>
            <w:vAlign w:val="center"/>
          </w:tcPr>
          <w:p w:rsidR="006459DE" w:rsidRDefault="00242A2A">
            <w:pPr>
              <w:jc w:val="center"/>
              <w:rPr>
                <w:rFonts w:ascii="Times New Roman" w:hAnsi="Times New Roman"/>
                <w:szCs w:val="21"/>
              </w:rPr>
            </w:pPr>
            <w:r>
              <w:rPr>
                <w:rFonts w:ascii="Times New Roman" w:hAnsi="Times New Roman" w:hint="eastAsia"/>
                <w:szCs w:val="21"/>
              </w:rPr>
              <w:t>22.92</w:t>
            </w:r>
          </w:p>
        </w:tc>
      </w:tr>
    </w:tbl>
    <w:p w:rsidR="006459DE" w:rsidRDefault="00242A2A" w:rsidP="006F588A">
      <w:pPr>
        <w:spacing w:beforeLines="50" w:before="156"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（3）教学科研仪</w:t>
      </w:r>
      <w:bookmarkStart w:id="8" w:name="_GoBack"/>
      <w:bookmarkEnd w:id="8"/>
      <w:r>
        <w:rPr>
          <w:rFonts w:ascii="仿宋_GB2312" w:eastAsia="仿宋_GB2312" w:hAnsi="黑体" w:hint="eastAsia"/>
          <w:b/>
          <w:sz w:val="30"/>
          <w:szCs w:val="30"/>
        </w:rPr>
        <w:t>器设备</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学校教学科研仪器设备总值109,606.29万元，生均3.14万元；当年新增教学科研仪器设备值13,620.92万元，增长14.19%。教</w:t>
      </w:r>
      <w:r>
        <w:rPr>
          <w:rFonts w:ascii="仿宋_GB2312" w:eastAsia="仿宋_GB2312" w:hAnsi="黑体" w:hint="eastAsia"/>
          <w:spacing w:val="6"/>
          <w:sz w:val="30"/>
          <w:szCs w:val="30"/>
        </w:rPr>
        <w:t>学</w:t>
      </w:r>
      <w:r>
        <w:rPr>
          <w:rFonts w:ascii="仿宋_GB2312" w:eastAsia="仿宋_GB2312" w:hAnsi="黑体" w:hint="eastAsia"/>
          <w:spacing w:val="-6"/>
          <w:sz w:val="30"/>
          <w:szCs w:val="30"/>
        </w:rPr>
        <w:t>用计算机9,261台，百名学生配备数31.7台，能满足教学需</w:t>
      </w:r>
      <w:r>
        <w:rPr>
          <w:rFonts w:ascii="仿宋_GB2312" w:eastAsia="仿宋_GB2312" w:hAnsi="黑体" w:hint="eastAsia"/>
          <w:spacing w:val="6"/>
          <w:sz w:val="30"/>
          <w:szCs w:val="30"/>
        </w:rPr>
        <w:t>要</w:t>
      </w:r>
      <w:r>
        <w:rPr>
          <w:rFonts w:ascii="仿宋_GB2312" w:eastAsia="仿宋_GB2312" w:hAnsi="黑体" w:hint="eastAsia"/>
          <w:sz w:val="30"/>
          <w:szCs w:val="30"/>
        </w:rPr>
        <w:t>。</w:t>
      </w:r>
    </w:p>
    <w:p w:rsidR="006459DE" w:rsidRDefault="006459DE" w:rsidP="006F588A">
      <w:pPr>
        <w:spacing w:line="240" w:lineRule="exact"/>
        <w:jc w:val="center"/>
        <w:rPr>
          <w:rFonts w:ascii="仿宋_GB2312" w:eastAsia="仿宋_GB2312" w:hAnsi="黑体"/>
          <w:sz w:val="30"/>
          <w:szCs w:val="30"/>
        </w:rPr>
      </w:pPr>
    </w:p>
    <w:p w:rsidR="006459DE" w:rsidRDefault="00FC679C">
      <w:pPr>
        <w:jc w:val="center"/>
        <w:rPr>
          <w:rFonts w:ascii="仿宋_GB2312" w:eastAsia="仿宋_GB2312" w:hAnsi="黑体"/>
          <w:sz w:val="30"/>
          <w:szCs w:val="30"/>
        </w:rPr>
      </w:pPr>
      <w:r>
        <w:rPr>
          <w:rFonts w:ascii="仿宋_GB2312" w:eastAsia="仿宋_GB2312" w:hAnsi="黑体"/>
          <w:sz w:val="30"/>
          <w:szCs w:val="30"/>
        </w:rPr>
        <w:pict>
          <v:rect id="_x0000_s1030" style="position:absolute;left:0;text-align:left;margin-left:20.1pt;margin-top:16.7pt;width:21.4pt;height:45.8pt;z-index:251660288;mso-width-relative:page;mso-height-relative:page" strokecolor="white">
            <v:textbox style="layout-flow:vertical-ideographic;mso-next-textbox:#_x0000_s1030" inset="0,0,0,0">
              <w:txbxContent>
                <w:p w:rsidR="00242A2A" w:rsidRDefault="00242A2A">
                  <w:pPr>
                    <w:rPr>
                      <w:rFonts w:asciiTheme="majorEastAsia" w:eastAsiaTheme="majorEastAsia" w:hAnsiTheme="majorEastAsia"/>
                      <w:sz w:val="18"/>
                      <w:szCs w:val="18"/>
                    </w:rPr>
                  </w:pPr>
                  <w:r>
                    <w:rPr>
                      <w:rFonts w:asciiTheme="majorEastAsia" w:eastAsiaTheme="majorEastAsia" w:hAnsiTheme="majorEastAsia" w:hint="eastAsia"/>
                      <w:sz w:val="18"/>
                      <w:szCs w:val="18"/>
                    </w:rPr>
                    <w:t>（亿）</w:t>
                  </w:r>
                </w:p>
              </w:txbxContent>
            </v:textbox>
          </v:rect>
        </w:pict>
      </w:r>
      <w:r w:rsidR="00242A2A">
        <w:rPr>
          <w:rFonts w:ascii="仿宋_GB2312" w:eastAsia="仿宋_GB2312" w:hAnsi="黑体"/>
          <w:noProof/>
          <w:sz w:val="30"/>
          <w:szCs w:val="30"/>
        </w:rPr>
        <w:drawing>
          <wp:inline distT="0" distB="0" distL="0" distR="0" wp14:anchorId="3FF1A416" wp14:editId="3430B93C">
            <wp:extent cx="4450080" cy="2626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l="1211" t="2218" r="1571" b="2218"/>
                    <a:stretch>
                      <a:fillRect/>
                    </a:stretch>
                  </pic:blipFill>
                  <pic:spPr>
                    <a:xfrm>
                      <a:off x="0" y="0"/>
                      <a:ext cx="4450361" cy="2626987"/>
                    </a:xfrm>
                    <a:prstGeom prst="rect">
                      <a:avLst/>
                    </a:prstGeom>
                    <a:noFill/>
                    <a:ln>
                      <a:noFill/>
                    </a:ln>
                  </pic:spPr>
                </pic:pic>
              </a:graphicData>
            </a:graphic>
          </wp:inline>
        </w:drawing>
      </w:r>
    </w:p>
    <w:p w:rsidR="006459DE" w:rsidRDefault="00242A2A">
      <w:pPr>
        <w:pStyle w:val="3"/>
        <w:spacing w:before="62" w:after="62"/>
      </w:pPr>
      <w:r>
        <w:rPr>
          <w:rFonts w:hint="eastAsia"/>
        </w:rPr>
        <w:t>图2-5  2015-2017年科研仪器设备值</w:t>
      </w:r>
    </w:p>
    <w:p w:rsidR="006459DE" w:rsidRDefault="006459DE" w:rsidP="006F588A">
      <w:pPr>
        <w:spacing w:line="240" w:lineRule="exact"/>
        <w:ind w:firstLineChars="200" w:firstLine="601"/>
        <w:rPr>
          <w:rFonts w:ascii="仿宋_GB2312" w:eastAsia="仿宋_GB2312" w:hAnsi="黑体"/>
          <w:b/>
          <w:sz w:val="30"/>
          <w:szCs w:val="30"/>
        </w:rPr>
      </w:pP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（4）实验室与实践教学基地</w:t>
      </w:r>
    </w:p>
    <w:p w:rsidR="006459DE" w:rsidRDefault="00242A2A">
      <w:pPr>
        <w:spacing w:line="54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学校紧紧围绕本科人才培养，以学科相近原则组建校级实验教学中心，以服务</w:t>
      </w:r>
      <w:r>
        <w:rPr>
          <w:rFonts w:ascii="仿宋_GB2312" w:eastAsia="仿宋_GB2312" w:hAnsi="黑体" w:hint="eastAsia"/>
          <w:spacing w:val="4"/>
          <w:sz w:val="30"/>
          <w:szCs w:val="30"/>
        </w:rPr>
        <w:t>教学</w:t>
      </w:r>
      <w:r w:rsidR="00BE67A2">
        <w:rPr>
          <w:rFonts w:ascii="仿宋_GB2312" w:eastAsia="仿宋_GB2312" w:hAnsi="黑体" w:hint="eastAsia"/>
          <w:spacing w:val="4"/>
          <w:sz w:val="30"/>
          <w:szCs w:val="30"/>
        </w:rPr>
        <w:t>为目标,</w:t>
      </w:r>
      <w:r>
        <w:rPr>
          <w:rFonts w:ascii="仿宋_GB2312" w:eastAsia="仿宋_GB2312" w:hAnsi="黑体" w:hint="eastAsia"/>
          <w:spacing w:val="4"/>
          <w:sz w:val="30"/>
          <w:szCs w:val="30"/>
        </w:rPr>
        <w:t>建立基础、专业教学实验室，形成多样化、层级式实验教学平台。目前，建有3个校级实验教学</w:t>
      </w:r>
      <w:r>
        <w:rPr>
          <w:rFonts w:ascii="仿宋_GB2312" w:eastAsia="仿宋_GB2312" w:hAnsi="黑体" w:hint="eastAsia"/>
          <w:spacing w:val="-4"/>
          <w:sz w:val="30"/>
          <w:szCs w:val="30"/>
        </w:rPr>
        <w:t>中心</w:t>
      </w:r>
      <w:r>
        <w:rPr>
          <w:rFonts w:ascii="仿宋_GB2312" w:eastAsia="仿宋_GB2312" w:hAnsi="黑体" w:hint="eastAsia"/>
          <w:sz w:val="30"/>
          <w:szCs w:val="30"/>
        </w:rPr>
        <w:t>，106个基础、专业教学实验室。建成3个国家级实验教学示范中心，14个省级实验教学示范中心；2个国家级虚拟仿真实验教学中心，2个省级虚拟仿真实验教学中心。</w:t>
      </w:r>
    </w:p>
    <w:p w:rsidR="006459DE" w:rsidRDefault="00242A2A">
      <w:pPr>
        <w:spacing w:line="54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依据人才培养目标，整合校内外资源，构建了“校内、杨凌区内、区外”三位一体的实践教学平台。在校内新（改）建完成植物生产园区、工程训练中心、食品加工生产线、生物工程中心等实训场所；在区内加强与杨凌本香集团、绿方生物公司等企业（公司）合作，建立60个实践教学基地；在杨凌区外分层次、分区域，按专业特点建立校企合作基地241个。建成2个国家级大学生校外实践教育基地，6个省级大学生校外实践教育基地，1个省级大学生农业标准化实践教育基地。</w:t>
      </w: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（5）图书资源建设与利用</w:t>
      </w:r>
    </w:p>
    <w:p w:rsidR="006459DE" w:rsidRDefault="00242A2A">
      <w:pPr>
        <w:spacing w:line="54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学校图书馆面积3.29万</w:t>
      </w:r>
      <w:r w:rsidR="00BE67A2">
        <w:rPr>
          <w:rFonts w:ascii="Calibri" w:eastAsia="仿宋_GB2312"/>
          <w:sz w:val="30"/>
          <w:szCs w:val="30"/>
        </w:rPr>
        <w:t>m</w:t>
      </w:r>
      <w:r w:rsidR="00BE67A2">
        <w:rPr>
          <w:rFonts w:ascii="Calibri" w:eastAsia="仿宋_GB2312"/>
          <w:sz w:val="30"/>
          <w:szCs w:val="30"/>
          <w:vertAlign w:val="superscript"/>
        </w:rPr>
        <w:t>2</w:t>
      </w:r>
      <w:r>
        <w:rPr>
          <w:rFonts w:ascii="仿宋_GB2312" w:eastAsia="仿宋_GB2312" w:hAnsi="黑体" w:hint="eastAsia"/>
          <w:sz w:val="30"/>
          <w:szCs w:val="30"/>
        </w:rPr>
        <w:t>，有阅览座位2,964个。图书总藏</w:t>
      </w:r>
      <w:r>
        <w:rPr>
          <w:rFonts w:ascii="仿宋_GB2312" w:eastAsia="仿宋_GB2312" w:hAnsi="黑体" w:hint="eastAsia"/>
          <w:spacing w:val="4"/>
          <w:sz w:val="30"/>
          <w:szCs w:val="30"/>
        </w:rPr>
        <w:t>量1,120.65万册，其中纸质馆藏251.06万册，电子馆藏869.59万册，生均纸质图书71.9册。学校引进Apabi电子图书、超星电子图书、Bks外文电子图书等中外文数据库140个，自建数据库4个。电子图书总量184.4万册。在此基础上，不断提高文献资源的开放度，建立了智能化图书管理系统，实现了校内文献资源对本科生的开放共享，月均检索251万(次</w:t>
      </w:r>
      <w:r>
        <w:rPr>
          <w:rFonts w:ascii="仿宋_GB2312" w:eastAsia="仿宋_GB2312" w:hAnsi="黑体" w:hint="eastAsia"/>
          <w:spacing w:val="-6"/>
          <w:sz w:val="30"/>
          <w:szCs w:val="30"/>
        </w:rPr>
        <w:t>)，数字资源下载量1,370.7万篇（次）</w:t>
      </w:r>
      <w:r>
        <w:rPr>
          <w:rFonts w:ascii="仿宋_GB2312" w:eastAsia="仿宋_GB2312" w:hAnsi="黑体" w:hint="eastAsia"/>
          <w:sz w:val="30"/>
          <w:szCs w:val="30"/>
        </w:rPr>
        <w:t>。</w:t>
      </w:r>
    </w:p>
    <w:p w:rsidR="006F588A" w:rsidRDefault="006F588A">
      <w:pPr>
        <w:spacing w:line="540" w:lineRule="exact"/>
        <w:ind w:firstLineChars="200" w:firstLine="600"/>
        <w:rPr>
          <w:rFonts w:ascii="仿宋_GB2312" w:eastAsia="仿宋_GB2312" w:hAnsi="黑体"/>
          <w:sz w:val="30"/>
          <w:szCs w:val="30"/>
        </w:rPr>
      </w:pP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（6）数字化资源建设</w:t>
      </w:r>
    </w:p>
    <w:p w:rsidR="006459DE" w:rsidRDefault="00242A2A">
      <w:pPr>
        <w:spacing w:line="540" w:lineRule="exact"/>
        <w:ind w:firstLineChars="200" w:firstLine="600"/>
        <w:rPr>
          <w:rFonts w:ascii="仿宋_GB2312" w:eastAsia="仿宋_GB2312" w:hAnsi="黑体"/>
          <w:sz w:val="30"/>
          <w:szCs w:val="30"/>
        </w:rPr>
        <w:sectPr w:rsidR="006459DE">
          <w:pgSz w:w="11906" w:h="16838"/>
          <w:pgMar w:top="1701" w:right="1531" w:bottom="1418" w:left="1588" w:header="851" w:footer="992" w:gutter="0"/>
          <w:cols w:space="425"/>
          <w:docGrid w:type="lines" w:linePitch="312"/>
        </w:sectPr>
      </w:pPr>
      <w:r>
        <w:rPr>
          <w:rFonts w:ascii="仿宋_GB2312" w:eastAsia="仿宋_GB2312" w:hAnsi="黑体" w:hint="eastAsia"/>
          <w:sz w:val="30"/>
          <w:szCs w:val="30"/>
        </w:rPr>
        <w:t>学校建成先</w:t>
      </w:r>
      <w:r>
        <w:rPr>
          <w:rFonts w:ascii="仿宋_GB2312" w:eastAsia="仿宋_GB2312" w:hAnsi="黑体" w:hint="eastAsia"/>
          <w:spacing w:val="-4"/>
          <w:sz w:val="30"/>
          <w:szCs w:val="30"/>
        </w:rPr>
        <w:t>进的网络教学综合平台，推进网络辅助教学。实施课程上网工程，967门课程实现基本信息上网和在线运行。建立课程网站1,735个，形成了“国家</w:t>
      </w:r>
      <w:r w:rsidR="00B10B4F">
        <w:rPr>
          <w:rFonts w:ascii="仿宋_GB2312" w:eastAsia="仿宋_GB2312" w:hAnsi="黑体" w:hint="eastAsia"/>
          <w:spacing w:val="-4"/>
          <w:sz w:val="30"/>
          <w:szCs w:val="30"/>
        </w:rPr>
        <w:t>、省</w:t>
      </w:r>
      <w:r>
        <w:rPr>
          <w:rFonts w:ascii="仿宋_GB2312" w:eastAsia="仿宋_GB2312" w:hAnsi="黑体" w:hint="eastAsia"/>
          <w:spacing w:val="-4"/>
          <w:sz w:val="30"/>
          <w:szCs w:val="30"/>
        </w:rPr>
        <w:t>、</w:t>
      </w:r>
      <w:r>
        <w:rPr>
          <w:rFonts w:ascii="仿宋_GB2312" w:eastAsia="仿宋_GB2312" w:hAnsi="黑体" w:hint="eastAsia"/>
          <w:sz w:val="30"/>
          <w:szCs w:val="30"/>
        </w:rPr>
        <w:t>学校”三级精品开放课程资源体</w:t>
      </w:r>
      <w:r>
        <w:rPr>
          <w:rFonts w:ascii="仿宋_GB2312" w:eastAsia="仿宋_GB2312" w:hAnsi="黑体" w:hint="eastAsia"/>
          <w:spacing w:val="-4"/>
          <w:sz w:val="30"/>
          <w:szCs w:val="30"/>
        </w:rPr>
        <w:t>系。数字平台提供了国内外多所名校优质教育资源，包括国家精品课程6,729条，全球开放课程4,076条、</w:t>
      </w:r>
      <w:r>
        <w:rPr>
          <w:rFonts w:ascii="仿宋_GB2312" w:eastAsia="仿宋_GB2312" w:hAnsi="黑体" w:hint="eastAsia"/>
          <w:sz w:val="30"/>
          <w:szCs w:val="30"/>
        </w:rPr>
        <w:t>精品视频公开课451条、MOOC课程297条、微课程489条，学校自身开发资源3,000多条。通过引进、购买等方式建立超星学术视频、新东方多媒体学习库等教学数据库40多个，实现校本数字教学资源共建共享。2016年度，登录网络教学综合平台系统的学生用户49,027，教师用户1,883人，受访问的网络课程11,349门次，总访问量6,349万。</w:t>
      </w:r>
    </w:p>
    <w:p w:rsidR="006459DE" w:rsidRDefault="00242A2A">
      <w:pPr>
        <w:pStyle w:val="1"/>
        <w:spacing w:before="156" w:after="156"/>
      </w:pPr>
      <w:bookmarkStart w:id="9" w:name="_Toc502497569"/>
      <w:r>
        <w:rPr>
          <w:rFonts w:hint="eastAsia"/>
        </w:rPr>
        <w:t>第三部分</w:t>
      </w:r>
      <w:r>
        <w:rPr>
          <w:rFonts w:hint="eastAsia"/>
        </w:rPr>
        <w:t xml:space="preserve">  </w:t>
      </w:r>
      <w:r>
        <w:rPr>
          <w:rFonts w:hint="eastAsia"/>
        </w:rPr>
        <w:t>教学建设与改革</w:t>
      </w:r>
      <w:bookmarkEnd w:id="9"/>
    </w:p>
    <w:p w:rsidR="006459DE" w:rsidRDefault="00242A2A">
      <w:pPr>
        <w:pStyle w:val="2"/>
        <w:spacing w:before="62" w:after="62" w:line="550" w:lineRule="exact"/>
      </w:pPr>
      <w:bookmarkStart w:id="10" w:name="_Toc502497570"/>
      <w:r>
        <w:rPr>
          <w:rFonts w:hint="eastAsia"/>
        </w:rPr>
        <w:t>1.</w:t>
      </w:r>
      <w:r>
        <w:rPr>
          <w:rFonts w:hint="eastAsia"/>
        </w:rPr>
        <w:t>加强教学基本建设</w:t>
      </w:r>
      <w:bookmarkEnd w:id="10"/>
    </w:p>
    <w:p w:rsidR="006459DE" w:rsidRDefault="00242A2A" w:rsidP="006F588A">
      <w:pPr>
        <w:spacing w:line="55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（1）提高专业建设水平</w:t>
      </w:r>
    </w:p>
    <w:p w:rsidR="006459DE" w:rsidRDefault="00242A2A">
      <w:pPr>
        <w:spacing w:line="55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学校按照社会行业需求，依据学科专业规划，优化专业结构布局，强化专业内涵建设，提升专业建设水平。</w:t>
      </w:r>
    </w:p>
    <w:p w:rsidR="006459DE" w:rsidRDefault="00242A2A">
      <w:pPr>
        <w:spacing w:line="550" w:lineRule="exact"/>
        <w:ind w:firstLineChars="200" w:firstLine="600"/>
        <w:rPr>
          <w:rFonts w:ascii="华文楷体" w:eastAsia="华文楷体" w:hAnsi="华文楷体"/>
          <w:sz w:val="30"/>
          <w:szCs w:val="30"/>
        </w:rPr>
      </w:pPr>
      <w:r>
        <w:rPr>
          <w:rFonts w:ascii="华文楷体" w:eastAsia="华文楷体" w:hAnsi="华文楷体" w:hint="eastAsia"/>
          <w:sz w:val="30"/>
          <w:szCs w:val="30"/>
        </w:rPr>
        <w:t>推进专业建设。</w:t>
      </w:r>
      <w:r>
        <w:rPr>
          <w:rFonts w:ascii="仿宋_GB2312" w:eastAsia="仿宋_GB2312" w:hAnsi="黑体" w:hint="eastAsia"/>
          <w:sz w:val="30"/>
          <w:szCs w:val="30"/>
        </w:rPr>
        <w:t>学校结合社会需求和学校实际，完善制定62个专业建设规划，明确专业建设原则、目标和举措，主动适应经济建设和社会发展对人才培养新要求和产业结构调整对专业发展新需求。申请增设化学生物学、农业规划设计2个专业，化学生物学专业获批设立，并向化学生物学等新专业初期投入50万元建设经费，快速提升专业建设水平。积极响应陕西省“一流大学、一流学科，一流学</w:t>
      </w:r>
      <w:r w:rsidRPr="006F588A">
        <w:rPr>
          <w:rFonts w:ascii="仿宋_GB2312" w:eastAsia="仿宋_GB2312" w:hAnsi="黑体" w:hint="eastAsia"/>
          <w:spacing w:val="8"/>
          <w:sz w:val="30"/>
          <w:szCs w:val="30"/>
        </w:rPr>
        <w:t>院、一流专业”建设计划，植物保护、动物科学等10个专业被列为建设项目，农业机械化及其自动化、园艺等9个专业被列为培育项目。立足服务地方经</w:t>
      </w:r>
      <w:r>
        <w:rPr>
          <w:rFonts w:ascii="仿宋_GB2312" w:eastAsia="仿宋_GB2312" w:hAnsi="黑体" w:hint="eastAsia"/>
          <w:sz w:val="30"/>
          <w:szCs w:val="30"/>
        </w:rPr>
        <w:t>济、科技和社会发展的需要，完成环境工程、环</w:t>
      </w:r>
      <w:r w:rsidRPr="006F588A">
        <w:rPr>
          <w:rFonts w:ascii="仿宋_GB2312" w:eastAsia="仿宋_GB2312" w:hAnsi="黑体" w:hint="eastAsia"/>
          <w:spacing w:val="8"/>
          <w:sz w:val="30"/>
          <w:szCs w:val="30"/>
        </w:rPr>
        <w:t>境科学、社会工作等3个专业学士学位</w:t>
      </w:r>
      <w:r w:rsidR="00B10B4F" w:rsidRPr="006F588A">
        <w:rPr>
          <w:rFonts w:ascii="仿宋_GB2312" w:eastAsia="仿宋_GB2312" w:hAnsi="黑体" w:hint="eastAsia"/>
          <w:spacing w:val="8"/>
          <w:sz w:val="30"/>
          <w:szCs w:val="30"/>
        </w:rPr>
        <w:t>授予</w:t>
      </w:r>
      <w:r w:rsidRPr="006F588A">
        <w:rPr>
          <w:rFonts w:ascii="仿宋_GB2312" w:eastAsia="仿宋_GB2312" w:hAnsi="黑体" w:hint="eastAsia"/>
          <w:spacing w:val="8"/>
          <w:sz w:val="30"/>
          <w:szCs w:val="30"/>
        </w:rPr>
        <w:t>权的申报</w:t>
      </w:r>
      <w:r>
        <w:rPr>
          <w:rFonts w:ascii="仿宋_GB2312" w:eastAsia="仿宋_GB2312" w:hAnsi="黑体" w:hint="eastAsia"/>
          <w:sz w:val="30"/>
          <w:szCs w:val="30"/>
        </w:rPr>
        <w:t>工作。</w:t>
      </w:r>
    </w:p>
    <w:p w:rsidR="006459DE" w:rsidRDefault="00242A2A">
      <w:pPr>
        <w:spacing w:line="55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完善专业评估。</w:t>
      </w:r>
      <w:r>
        <w:rPr>
          <w:rFonts w:ascii="仿宋_GB2312" w:eastAsia="仿宋_GB2312" w:hAnsi="黑体" w:hint="eastAsia"/>
          <w:sz w:val="30"/>
          <w:szCs w:val="30"/>
        </w:rPr>
        <w:t>学校自主研发专业评估系统，从专业设置、培养模式、师资队伍、教学资源、培养过程、教学质量保障、学生发展和专业特色等8个方面开展了校内本科专业评估。2017年上半年，充分运用专业评估结果，指导专业合理规划，丰富专业建设内涵，为进一步推动专业建设和发展奠定良好基础。</w:t>
      </w:r>
    </w:p>
    <w:p w:rsidR="006459DE" w:rsidRDefault="00242A2A">
      <w:pPr>
        <w:spacing w:line="540" w:lineRule="exact"/>
        <w:ind w:firstLineChars="200" w:firstLine="600"/>
        <w:rPr>
          <w:rFonts w:ascii="仿宋_GB2312" w:eastAsia="仿宋_GB2312" w:hAnsi="黑体"/>
          <w:sz w:val="30"/>
          <w:szCs w:val="30"/>
        </w:rPr>
      </w:pPr>
      <w:r>
        <w:rPr>
          <w:rFonts w:ascii="仿宋_GB2312" w:eastAsia="仿宋_GB2312" w:hAnsi="黑体" w:hint="eastAsia"/>
          <w:sz w:val="30"/>
          <w:szCs w:val="30"/>
        </w:rPr>
        <w:t>2016-2017学年，在中国科学评价研究中心（RCCSE）、中国科教评价网和武汉大学中国教育质量评价中心联合发布的《2017-2018中国大学及学科</w:t>
      </w:r>
      <w:r>
        <w:rPr>
          <w:rFonts w:ascii="仿宋_GB2312" w:eastAsia="仿宋_GB2312" w:hAnsi="黑体" w:hint="eastAsia"/>
          <w:spacing w:val="6"/>
          <w:sz w:val="30"/>
          <w:szCs w:val="30"/>
        </w:rPr>
        <w:t>专业评价报告》中，有10个专业被评</w:t>
      </w:r>
      <w:r>
        <w:rPr>
          <w:rFonts w:ascii="仿宋_GB2312" w:eastAsia="仿宋_GB2312" w:hAnsi="黑体" w:hint="eastAsia"/>
          <w:sz w:val="30"/>
          <w:szCs w:val="30"/>
        </w:rPr>
        <w:t>为5星专业</w:t>
      </w:r>
      <w:r>
        <w:rPr>
          <w:rFonts w:ascii="仿宋_GB2312" w:eastAsia="仿宋_GB2312" w:hAnsi="黑体" w:hint="eastAsia"/>
          <w:spacing w:val="6"/>
          <w:sz w:val="30"/>
          <w:szCs w:val="30"/>
        </w:rPr>
        <w:t>，有18个专业被评为4星专业，有22个专</w:t>
      </w:r>
      <w:r>
        <w:rPr>
          <w:rFonts w:ascii="仿宋_GB2312" w:eastAsia="仿宋_GB2312" w:hAnsi="黑体" w:hint="eastAsia"/>
          <w:sz w:val="30"/>
          <w:szCs w:val="30"/>
        </w:rPr>
        <w:t>业被评为3星专业。</w:t>
      </w:r>
    </w:p>
    <w:p w:rsidR="006459DE" w:rsidRDefault="00242A2A" w:rsidP="006F588A">
      <w:pPr>
        <w:widowControl/>
        <w:ind w:firstLineChars="200" w:firstLine="601"/>
        <w:jc w:val="left"/>
        <w:rPr>
          <w:rFonts w:ascii="Times New Roman" w:eastAsia="仿宋" w:hAnsi="Times New Roman"/>
          <w:b/>
          <w:bCs/>
          <w:sz w:val="24"/>
          <w:szCs w:val="32"/>
        </w:rPr>
      </w:pPr>
      <w:r>
        <w:rPr>
          <w:rFonts w:ascii="仿宋_GB2312" w:eastAsia="仿宋_GB2312" w:hAnsi="黑体" w:hint="eastAsia"/>
          <w:b/>
          <w:sz w:val="30"/>
          <w:szCs w:val="30"/>
        </w:rPr>
        <w:t>（2）课程建设取得新成效</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学校以优质课程建设为重点，形成优质课程体系，带动整体课</w:t>
      </w:r>
      <w:r>
        <w:rPr>
          <w:rFonts w:ascii="仿宋_GB2312" w:eastAsia="仿宋_GB2312" w:hAnsi="黑体" w:hint="eastAsia"/>
          <w:spacing w:val="6"/>
          <w:sz w:val="30"/>
          <w:szCs w:val="30"/>
        </w:rPr>
        <w:t>程建设质量提升，同时强化线上线下课程建设，形成完备一体化课程体系</w:t>
      </w:r>
      <w:r>
        <w:rPr>
          <w:rFonts w:ascii="仿宋_GB2312" w:eastAsia="仿宋_GB2312" w:hAnsi="黑体" w:hint="eastAsia"/>
          <w:sz w:val="30"/>
          <w:szCs w:val="30"/>
        </w:rPr>
        <w:t>。</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课程体系趋于完备。</w:t>
      </w:r>
      <w:r>
        <w:rPr>
          <w:rFonts w:ascii="仿宋_GB2312" w:eastAsia="仿宋_GB2312" w:hAnsi="黑体" w:hint="eastAsia"/>
          <w:sz w:val="30"/>
          <w:szCs w:val="30"/>
        </w:rPr>
        <w:t>学校在2,239门课程质量标准基础上，确定了每个专业示范建设10门以上专业核心课程质量标准，以课程建设促进专业发展。加强在线课程建设，立项建设校级在线开放课程 10门，获批省级在线开放课程建设项目 2 项，在线开放课程教学改革研究项目2项，引进尔雅通识教育优质资源课程45门，推荐认定爱课程、智慧树等作为慕课建设平台，立项支持资源共享课、视频公开课建设，充分利用网络在线课程资源。</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开课能力不断增强。</w:t>
      </w:r>
      <w:r>
        <w:rPr>
          <w:rFonts w:ascii="仿宋_GB2312" w:eastAsia="仿宋_GB2312" w:hAnsi="黑体" w:hint="eastAsia"/>
          <w:sz w:val="30"/>
          <w:szCs w:val="30"/>
        </w:rPr>
        <w:t>201</w:t>
      </w:r>
      <w:r>
        <w:rPr>
          <w:rFonts w:ascii="仿宋_GB2312" w:eastAsia="仿宋_GB2312" w:hAnsi="黑体" w:hint="eastAsia"/>
          <w:spacing w:val="4"/>
          <w:sz w:val="30"/>
          <w:szCs w:val="30"/>
        </w:rPr>
        <w:t>6-2017学年，开设课程1,839门（含网络课程），其中公共必修课81门，占课程总数的4.4%；公共选修课198门，占课程总数的10.77%；专业课1,502门，占课程总数的81.67%。开设新生研讨课、科学研究方法、学术前沿研讨、学科专题等200门。为提高课堂教学质量，严</w:t>
      </w:r>
      <w:r>
        <w:rPr>
          <w:rFonts w:ascii="仿宋_GB2312" w:eastAsia="仿宋_GB2312" w:hAnsi="黑体" w:hint="eastAsia"/>
          <w:spacing w:val="6"/>
          <w:sz w:val="30"/>
          <w:szCs w:val="30"/>
        </w:rPr>
        <w:t>格控制课堂规模，60人以下的课堂数量</w:t>
      </w:r>
      <w:r>
        <w:rPr>
          <w:rFonts w:ascii="仿宋_GB2312" w:eastAsia="仿宋_GB2312" w:hAnsi="黑体" w:hint="eastAsia"/>
          <w:spacing w:val="4"/>
          <w:sz w:val="30"/>
          <w:szCs w:val="30"/>
        </w:rPr>
        <w:t>提高到65.5%，基本取消了200人以上</w:t>
      </w:r>
      <w:r>
        <w:rPr>
          <w:rFonts w:ascii="仿宋_GB2312" w:eastAsia="仿宋_GB2312" w:hAnsi="黑体" w:hint="eastAsia"/>
          <w:spacing w:val="6"/>
          <w:sz w:val="30"/>
          <w:szCs w:val="30"/>
        </w:rPr>
        <w:t>的超大课堂</w:t>
      </w:r>
      <w:r>
        <w:rPr>
          <w:rFonts w:ascii="仿宋_GB2312" w:eastAsia="仿宋_GB2312" w:hAnsi="黑体" w:hint="eastAsia"/>
          <w:sz w:val="30"/>
          <w:szCs w:val="30"/>
        </w:rPr>
        <w:t>。</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现有国家级精品课程12门，国家级视频公开课程4门，国家级精品资源共享课程8门；省级精品课程50门，省级精品资源共享课程40门；国家级双语示范课程1门；省级双语示范课程3门。建设慕课课程10门，双语和全英文课程45门，聘请国外知名大学教授开设本科生全英文暑期课程24门，各类校级立项课程300门，初步形成分布合理、资源共享的精品课程体系。</w:t>
      </w: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（3）教材建设取得新成绩</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学校坚持精品原则、创新原则、适用原则，完善教材选用和编写体系，鼓励教师编写特色教材，选用优质教材，形成具有时代性、基础性、科学性和发展性的教材体系。</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一是成立教材科，加强教材建设组织保障。教材科在教学指导专门委员会和教务处领导下，负责学校教材建设的规划、实施以及研究等工作。二是加强优质教材建设。依据《教材工作条例》《本科教材建设资助办法》，鼓励教师结合专业编写高质量教材。学年内，公开出版教材35部，入选科学出版社第一批“十三五”规划教材4部；入选中国农业出版社第一批“十三五”规划教材选题和数字化项目22个；评选校级优秀教材5部，获“陕西省普通高等学校优秀教材”3部。三是规范优质教材选用。坚持优先选用国家级、省部级获奖教材和规划教材，鼓励教师积极引用国外原版优秀教材，近三年来，优秀教材的使用率都达80%以上。</w:t>
      </w:r>
    </w:p>
    <w:p w:rsidR="006459DE" w:rsidRDefault="00242A2A" w:rsidP="006F588A">
      <w:pPr>
        <w:spacing w:line="560" w:lineRule="exact"/>
        <w:ind w:firstLineChars="200" w:firstLine="601"/>
        <w:rPr>
          <w:rFonts w:ascii="仿宋_GB2312" w:eastAsia="仿宋_GB2312" w:hAnsi="黑体"/>
          <w:b/>
          <w:sz w:val="30"/>
          <w:szCs w:val="30"/>
        </w:rPr>
      </w:pPr>
      <w:r>
        <w:rPr>
          <w:rFonts w:ascii="仿宋_GB2312" w:eastAsia="仿宋_GB2312" w:hAnsi="黑体" w:hint="eastAsia"/>
          <w:b/>
          <w:sz w:val="30"/>
          <w:szCs w:val="30"/>
        </w:rPr>
        <w:t>（4）教学改革取得新进展</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学校以教育研究促进教学改革，以教学改革推动教学发展，实施人才培养模式、课堂教学、实习实践等系列改革，人才培养质量显著提升。</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深化培养模式改革。</w:t>
      </w:r>
      <w:r>
        <w:rPr>
          <w:rFonts w:ascii="仿宋_GB2312" w:eastAsia="仿宋_GB2312" w:hAnsi="黑体" w:hint="eastAsia"/>
          <w:sz w:val="30"/>
          <w:szCs w:val="30"/>
        </w:rPr>
        <w:t xml:space="preserve">学校继续加强植物保护、动物科学等8个国家级卓越农林人才培养教育计划试点专业的组织管理，优化专业人才培养方案，组织项目中期检查，促进改革取得实质性进展。  </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推进课堂教学改革。</w:t>
      </w:r>
      <w:r>
        <w:rPr>
          <w:rFonts w:ascii="仿宋_GB2312" w:eastAsia="仿宋_GB2312" w:hAnsi="黑体" w:hint="eastAsia"/>
          <w:sz w:val="30"/>
          <w:szCs w:val="30"/>
        </w:rPr>
        <w:t>2017年是“课堂教学质量年”。学校以理学院基础化学团队有机化学课程教学改革为试点，加强课程组建设、实行小班授课、定期开展“说课”研讨和国内外教授联合授课等推动课堂教学改革。学校召开思政课教学改革研讨会4次，就《毛泽东思想》《中国特色社会主义理论体系概论》等4门政治课进行顶层设计，推进混合式教学、翻转课堂改革，搭建“教师主导、学生主体”育人新模式。学校完善学业多元化考核评价体系。以信息学院“程序设计与基础（VB）”课程为试点，鼓励教师实行多元化考核，促进学生学习兴趣和学习效果提升，得到了学生广泛认可。多元化考核模式课程改革成果在全校范围内推广。</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完善实践教学模式。</w:t>
      </w:r>
      <w:r>
        <w:rPr>
          <w:rFonts w:ascii="仿宋_GB2312" w:eastAsia="仿宋_GB2312" w:hAnsi="黑体" w:hint="eastAsia"/>
          <w:sz w:val="30"/>
          <w:szCs w:val="30"/>
        </w:rPr>
        <w:t>学校以培养生产实践技能为目标，构建“教学实习+科技示范”专业实习教学模式。学校充分发挥学校试验示范基地及野外台站的育人功能，使更多的学生能在实践中检验和增进专业知识。近年来，每年组织2,000余名学生进入白水苹果试验站、阎良甜瓜试验站、眉县猕猴桃试验站等13个农业推广基地开展社会实践，开展科研活动和创业活动，让学生直接参与生产实践，充分接触生产一线，大力提升学生生产实践技能。</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加强教学研究。</w:t>
      </w:r>
      <w:r>
        <w:rPr>
          <w:rFonts w:ascii="仿宋_GB2312" w:eastAsia="仿宋_GB2312" w:hAnsi="黑体" w:hint="eastAsia"/>
          <w:sz w:val="30"/>
          <w:szCs w:val="30"/>
        </w:rPr>
        <w:t>学校鼓励教师</w:t>
      </w:r>
      <w:r w:rsidR="00B10B4F">
        <w:rPr>
          <w:rFonts w:ascii="仿宋_GB2312" w:eastAsia="仿宋_GB2312" w:hAnsi="黑体" w:hint="eastAsia"/>
          <w:sz w:val="30"/>
          <w:szCs w:val="30"/>
        </w:rPr>
        <w:t>积极</w:t>
      </w:r>
      <w:r>
        <w:rPr>
          <w:rFonts w:ascii="仿宋_GB2312" w:eastAsia="仿宋_GB2312" w:hAnsi="黑体" w:hint="eastAsia"/>
          <w:sz w:val="30"/>
          <w:szCs w:val="30"/>
        </w:rPr>
        <w:t>开展教学研究，</w:t>
      </w:r>
      <w:r w:rsidR="00B10B4F">
        <w:rPr>
          <w:rFonts w:ascii="仿宋_GB2312" w:eastAsia="仿宋_GB2312" w:hAnsi="黑体" w:hint="eastAsia"/>
          <w:sz w:val="30"/>
          <w:szCs w:val="30"/>
        </w:rPr>
        <w:t>营造浓厚教学研究</w:t>
      </w:r>
      <w:r>
        <w:rPr>
          <w:rFonts w:ascii="仿宋_GB2312" w:eastAsia="仿宋_GB2312" w:hAnsi="黑体" w:hint="eastAsia"/>
          <w:sz w:val="30"/>
          <w:szCs w:val="30"/>
        </w:rPr>
        <w:t>氛围。学校承担陕西省高等教育教学改革研究专项10项，其中，重点项目5项，一般项目5项；立项校级教改研究项目255项，其中重点项目26项，一般项目53项，培育项目176项。2016-2017学年，发表各类教育教学改革类论文212篇。</w:t>
      </w:r>
    </w:p>
    <w:p w:rsidR="006459DE" w:rsidRDefault="00242A2A">
      <w:pPr>
        <w:pStyle w:val="2"/>
        <w:spacing w:before="62" w:after="62"/>
      </w:pPr>
      <w:bookmarkStart w:id="11" w:name="_Toc502497571"/>
      <w:r>
        <w:rPr>
          <w:rFonts w:hint="eastAsia"/>
        </w:rPr>
        <w:t>2.</w:t>
      </w:r>
      <w:r>
        <w:rPr>
          <w:rFonts w:hint="eastAsia"/>
        </w:rPr>
        <w:t>推进创新创业教育</w:t>
      </w:r>
      <w:bookmarkEnd w:id="11"/>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学校稳步推进创新创业教育，加强学生创业意识、创新精神、创新创业能力的培养，坚持“融合贯通、分类实践、特色发展”的原则，面向全体学生，将创新创业教育融入人才培养全过程。</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加强组织制度保障。</w:t>
      </w:r>
      <w:r>
        <w:rPr>
          <w:rFonts w:ascii="仿宋_GB2312" w:eastAsia="仿宋_GB2312" w:hAnsi="黑体" w:hint="eastAsia"/>
          <w:sz w:val="30"/>
          <w:szCs w:val="30"/>
        </w:rPr>
        <w:t>学校成立创新创业教育工作领导小组，出台《本科生创新创业与素质教育学分管理办法》，将学生参加创新创业竞赛、公开发表论文、取得专利、自主创办技术类公司等活动纳入创新学分管理体系，并建立了学分积累和转换制度。学校修订《本科生学籍管理办法》，探索休学创业弹性学制，完善创新创业教育制度保障。</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健全创新创业课程。</w:t>
      </w:r>
      <w:r>
        <w:rPr>
          <w:rFonts w:ascii="仿宋_GB2312" w:eastAsia="仿宋_GB2312" w:hAnsi="黑体" w:hint="eastAsia"/>
          <w:sz w:val="30"/>
          <w:szCs w:val="30"/>
        </w:rPr>
        <w:t>学校健全创新创业课程体系，开设新生研讨课86门、创业类通识课程22门，科学研究方法课程19门、学科专题课程106门。学校以“内外选聘、专兼结合、分类指导”的方式建立起145人的大学生创业导师队伍，不断提高创新创业指导帮扶能力。</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强化创新创业训练。</w:t>
      </w:r>
      <w:r>
        <w:rPr>
          <w:rFonts w:ascii="仿宋_GB2312" w:eastAsia="仿宋_GB2312" w:hAnsi="黑体" w:hint="eastAsia"/>
          <w:sz w:val="30"/>
          <w:szCs w:val="30"/>
        </w:rPr>
        <w:t>学校坚持以“团队化、项目化”实践为基础，资助大学生创新创业训练计划项目524项，举办“大学生创新创业论坛暨成果展示”活动，参与学生5,000余人，打造“科研成果享受大赛”、“环保创意大赛”、“金点子商业精英挑战赛”等品牌活动，参与学生2,000余人。学校组织学生参加省部级以上学科竞赛14项，参与学生4,317人次，获得国家级奖励187项、省部级奖励82项。</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促进协同合作育人。</w:t>
      </w:r>
      <w:r>
        <w:rPr>
          <w:rFonts w:ascii="仿宋_GB2312" w:eastAsia="仿宋_GB2312" w:hAnsi="黑体" w:hint="eastAsia"/>
          <w:sz w:val="30"/>
          <w:szCs w:val="30"/>
        </w:rPr>
        <w:t>学校与杨凌示范区联手打造集培训、训练、孵化、服务等功能于一体的创业实践平台，与社会企业合作共建大学生创新创业实践基地，与陕西省中小企业服务中心、陕西荣华控股企业集团等单位建立了校企合作创新创业基地38个。联合万学集团举办“互联网+”创新创业训练营，培训学生100人次，推荐3名学生参加“北大光华”创业训练营，推荐30名学生参加“和君商学院”学习。</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2016-2017学年，创新创业教育成效显著。学校获批国家级创新创业项目120个；获批省级创新创业项目172个，居陕西省第一；校级立</w:t>
      </w:r>
      <w:r>
        <w:rPr>
          <w:rFonts w:ascii="仿宋_GB2312" w:eastAsia="仿宋_GB2312" w:hAnsi="黑体" w:hint="eastAsia"/>
          <w:spacing w:val="6"/>
          <w:sz w:val="30"/>
          <w:szCs w:val="30"/>
        </w:rPr>
        <w:t>项资助项目166个，参与学生2,290人，占2017级本科生总数的 44%。2017年本科生发表论文117篇</w:t>
      </w:r>
      <w:r>
        <w:rPr>
          <w:rFonts w:ascii="仿宋_GB2312" w:eastAsia="仿宋_GB2312" w:hAnsi="黑体" w:hint="eastAsia"/>
          <w:sz w:val="30"/>
          <w:szCs w:val="30"/>
        </w:rPr>
        <w:t>，其中SCI论文29篇，核心期刊论文57篇，获批专利38项。我校学生在第二届中国“互联网</w:t>
      </w:r>
      <w:r w:rsidR="000577F3">
        <w:rPr>
          <w:rFonts w:ascii="仿宋_GB2312" w:eastAsia="仿宋_GB2312" w:hAnsi="黑体" w:hint="eastAsia"/>
          <w:sz w:val="30"/>
          <w:szCs w:val="30"/>
        </w:rPr>
        <w:t>+</w:t>
      </w:r>
      <w:r>
        <w:rPr>
          <w:rFonts w:ascii="仿宋_GB2312" w:eastAsia="仿宋_GB2312" w:hAnsi="黑体" w:hint="eastAsia"/>
          <w:sz w:val="30"/>
          <w:szCs w:val="30"/>
        </w:rPr>
        <w:t>”大学生创新创业大赛获银奖2项、铜奖2项，总成绩位列全国第22名，学校也荣获“先进集体奖”；并获陕西省青年创新创业大赛金奖1项。学校入选教育部“全国高校实践育人创新创业基地”、“深化创新创业教育改革示范高校”，获批陕西省创新创业教育改革试点学院建设单位，陕西省首批深化创新创业教育改革示范高校。1人入选2016年“全国大学生创业英雄”十强，2人获评第六届陕西省大学生“创业明星”。目前学生注册公司91家，创园入孵企业2016年销售总额7,091万元，“农桑创客”朱铭强、“土博士”姜义亮、“苹果姐”田义等一批结合学科专业的创业典型受到社会各界广泛关注。</w:t>
      </w:r>
    </w:p>
    <w:p w:rsidR="006459DE" w:rsidRDefault="00242A2A">
      <w:pPr>
        <w:pStyle w:val="2"/>
        <w:spacing w:before="62" w:after="62"/>
      </w:pPr>
      <w:bookmarkStart w:id="12" w:name="_Toc502497572"/>
      <w:r>
        <w:rPr>
          <w:rFonts w:hint="eastAsia"/>
        </w:rPr>
        <w:t>3.</w:t>
      </w:r>
      <w:r>
        <w:rPr>
          <w:rFonts w:hint="eastAsia"/>
        </w:rPr>
        <w:t>深化国内外合作办学</w:t>
      </w:r>
      <w:bookmarkEnd w:id="12"/>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学校深化国内外合作办学机制，加强师生国内外合作交流，不断开阔师生视野，增强沟通交流，使学校教育走向开放、增进互动、更加包容。</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建立联合育人机制。</w:t>
      </w:r>
      <w:r>
        <w:rPr>
          <w:rFonts w:ascii="仿宋_GB2312" w:eastAsia="仿宋_GB2312" w:hAnsi="黑体" w:hint="eastAsia"/>
          <w:sz w:val="30"/>
          <w:szCs w:val="30"/>
        </w:rPr>
        <w:t>学校与江南大学、西安外国语大学签订了《本科生联合培养协议》，使校校联合培养的学校达到5个，组织选派44名学生到对方学校进行交流学习。全年接收宁夏大学、石河子大</w:t>
      </w:r>
      <w:r>
        <w:rPr>
          <w:rFonts w:ascii="仿宋_GB2312" w:eastAsia="仿宋_GB2312" w:hAnsi="黑体" w:hint="eastAsia"/>
          <w:spacing w:val="6"/>
          <w:sz w:val="30"/>
          <w:szCs w:val="30"/>
        </w:rPr>
        <w:t>学、新疆农业大学、塔里木大学、青岛农业大学等访</w:t>
      </w:r>
      <w:r>
        <w:rPr>
          <w:rFonts w:ascii="仿宋_GB2312" w:eastAsia="仿宋_GB2312" w:hAnsi="黑体" w:hint="eastAsia"/>
          <w:sz w:val="30"/>
          <w:szCs w:val="30"/>
        </w:rPr>
        <w:t>学学生81名，</w:t>
      </w:r>
      <w:r w:rsidR="000577F3">
        <w:rPr>
          <w:rFonts w:ascii="仿宋_GB2312" w:eastAsia="仿宋_GB2312" w:hAnsi="黑体" w:hint="eastAsia"/>
          <w:sz w:val="30"/>
          <w:szCs w:val="30"/>
        </w:rPr>
        <w:t>到我校交流学习,联合培养效果良好</w:t>
      </w:r>
      <w:r>
        <w:rPr>
          <w:rFonts w:ascii="仿宋_GB2312" w:eastAsia="仿宋_GB2312" w:hAnsi="黑体" w:hint="eastAsia"/>
          <w:sz w:val="30"/>
          <w:szCs w:val="30"/>
        </w:rPr>
        <w:t>。</w:t>
      </w:r>
    </w:p>
    <w:p w:rsidR="006459DE" w:rsidRDefault="00242A2A">
      <w:pPr>
        <w:spacing w:line="560" w:lineRule="exact"/>
        <w:ind w:firstLine="624"/>
        <w:rPr>
          <w:rFonts w:ascii="Times New Roman" w:eastAsia="仿宋_GB2312" w:hAnsi="Times New Roman"/>
          <w:sz w:val="30"/>
          <w:szCs w:val="30"/>
        </w:rPr>
      </w:pPr>
      <w:r>
        <w:rPr>
          <w:rFonts w:ascii="华文楷体" w:eastAsia="华文楷体" w:hAnsi="华文楷体" w:hint="eastAsia"/>
          <w:sz w:val="30"/>
          <w:szCs w:val="30"/>
        </w:rPr>
        <w:t>实施合作办学项目。</w:t>
      </w:r>
      <w:r>
        <w:rPr>
          <w:rFonts w:ascii="Times New Roman" w:eastAsia="仿宋_GB2312" w:hAnsi="Times New Roman" w:hint="eastAsia"/>
          <w:sz w:val="30"/>
          <w:szCs w:val="30"/>
        </w:rPr>
        <w:t>学校积极引进国外优质教育资源，与国外一流大学开展合作办学。学校与</w:t>
      </w:r>
      <w:r>
        <w:rPr>
          <w:rFonts w:ascii="仿宋_GB2312" w:eastAsia="仿宋_GB2312" w:hAnsi="黑体" w:hint="eastAsia"/>
          <w:sz w:val="30"/>
          <w:szCs w:val="30"/>
        </w:rPr>
        <w:t>美国内布拉斯加林肯大学合办</w:t>
      </w:r>
      <w:r w:rsidR="000577F3">
        <w:rPr>
          <w:rFonts w:ascii="仿宋_GB2312" w:eastAsia="仿宋_GB2312" w:hAnsi="黑体" w:hint="eastAsia"/>
          <w:sz w:val="30"/>
          <w:szCs w:val="30"/>
        </w:rPr>
        <w:t>的</w:t>
      </w:r>
      <w:r>
        <w:rPr>
          <w:rFonts w:ascii="仿宋_GB2312" w:eastAsia="仿宋_GB2312" w:hAnsi="黑体" w:hint="eastAsia"/>
          <w:sz w:val="30"/>
          <w:szCs w:val="30"/>
        </w:rPr>
        <w:t>“食品科学与工程</w:t>
      </w:r>
      <w:r w:rsidR="000577F3">
        <w:rPr>
          <w:rFonts w:ascii="仿宋_GB2312" w:eastAsia="仿宋_GB2312" w:hAnsi="黑体" w:hint="eastAsia"/>
          <w:sz w:val="30"/>
          <w:szCs w:val="30"/>
        </w:rPr>
        <w:t>本科</w:t>
      </w:r>
      <w:r>
        <w:rPr>
          <w:rFonts w:ascii="仿宋_GB2312" w:eastAsia="仿宋_GB2312" w:hAnsi="黑体" w:hint="eastAsia"/>
          <w:sz w:val="30"/>
          <w:szCs w:val="30"/>
        </w:rPr>
        <w:t>专业”</w:t>
      </w:r>
      <w:r w:rsidR="000577F3" w:rsidRPr="000577F3">
        <w:rPr>
          <w:rFonts w:ascii="仿宋_GB2312" w:eastAsia="仿宋_GB2312" w:hAnsi="黑体" w:hint="eastAsia"/>
          <w:sz w:val="30"/>
          <w:szCs w:val="30"/>
        </w:rPr>
        <w:t xml:space="preserve"> </w:t>
      </w:r>
      <w:r w:rsidR="000577F3">
        <w:rPr>
          <w:rFonts w:ascii="仿宋_GB2312" w:eastAsia="仿宋_GB2312" w:hAnsi="黑体" w:hint="eastAsia"/>
          <w:sz w:val="30"/>
          <w:szCs w:val="30"/>
        </w:rPr>
        <w:t>中外合作办学项目</w:t>
      </w:r>
      <w:r>
        <w:rPr>
          <w:rFonts w:ascii="仿宋_GB2312" w:eastAsia="仿宋_GB2312" w:hAnsi="黑体"/>
          <w:sz w:val="30"/>
          <w:szCs w:val="30"/>
        </w:rPr>
        <w:t>2015</w:t>
      </w:r>
      <w:r>
        <w:rPr>
          <w:rFonts w:ascii="仿宋_GB2312" w:eastAsia="仿宋_GB2312" w:hAnsi="黑体" w:hint="eastAsia"/>
          <w:sz w:val="30"/>
          <w:szCs w:val="30"/>
        </w:rPr>
        <w:t>年</w:t>
      </w:r>
      <w:r w:rsidR="000577F3">
        <w:rPr>
          <w:rFonts w:ascii="仿宋_GB2312" w:eastAsia="仿宋_GB2312" w:hAnsi="黑体" w:hint="eastAsia"/>
          <w:sz w:val="30"/>
          <w:szCs w:val="30"/>
        </w:rPr>
        <w:t>获得</w:t>
      </w:r>
      <w:r>
        <w:rPr>
          <w:rFonts w:ascii="Times New Roman" w:eastAsia="仿宋_GB2312" w:hAnsi="Times New Roman" w:hint="eastAsia"/>
          <w:sz w:val="30"/>
          <w:szCs w:val="30"/>
        </w:rPr>
        <w:t>教育部批准。学校与美国康奈尔大学、马里兰大学、夏威夷大学、内布拉斯加林肯大学、俄克拉荷马州立大学、科罗拉多州立大学，加拿大阿尔伯塔大学等学校开展</w:t>
      </w:r>
      <w:r>
        <w:rPr>
          <w:rFonts w:ascii="Times New Roman" w:eastAsia="仿宋_GB2312" w:hAnsi="Times New Roman" w:hint="eastAsia"/>
          <w:sz w:val="30"/>
          <w:szCs w:val="30"/>
        </w:rPr>
        <w:t>15</w:t>
      </w:r>
      <w:r>
        <w:rPr>
          <w:rFonts w:ascii="Times New Roman" w:eastAsia="仿宋_GB2312" w:hAnsi="Times New Roman" w:hint="eastAsia"/>
          <w:sz w:val="30"/>
          <w:szCs w:val="30"/>
        </w:rPr>
        <w:t>个联合培养项目。</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实施“本科生国际视野拓展计划”。</w:t>
      </w:r>
      <w:r>
        <w:rPr>
          <w:rFonts w:ascii="Times New Roman" w:eastAsia="仿宋_GB2312" w:hAnsi="Times New Roman" w:hint="eastAsia"/>
          <w:sz w:val="30"/>
          <w:szCs w:val="30"/>
        </w:rPr>
        <w:t>学校鼓励本科生出国（境）学习交流，提高</w:t>
      </w:r>
      <w:r>
        <w:rPr>
          <w:rFonts w:ascii="仿宋_GB2312" w:eastAsia="仿宋_GB2312" w:hAnsi="黑体" w:hint="eastAsia"/>
          <w:sz w:val="30"/>
          <w:szCs w:val="30"/>
        </w:rPr>
        <w:t>能力素质。2016-2017学年，共有</w:t>
      </w:r>
      <w:r>
        <w:rPr>
          <w:rFonts w:ascii="仿宋_GB2312" w:eastAsia="仿宋_GB2312" w:hAnsi="黑体"/>
          <w:sz w:val="30"/>
          <w:szCs w:val="30"/>
        </w:rPr>
        <w:t>388</w:t>
      </w:r>
      <w:r>
        <w:rPr>
          <w:rFonts w:ascii="仿宋_GB2312" w:eastAsia="仿宋_GB2312" w:hAnsi="黑体" w:hint="eastAsia"/>
          <w:sz w:val="30"/>
          <w:szCs w:val="30"/>
        </w:rPr>
        <w:t>名本科生出国（境）参加各类访学项目、实习、国际比赛、演出等。此外，学校鼓励本科生积极参加国家留学基金委的各类国家公派项目，共选派</w:t>
      </w:r>
      <w:r>
        <w:rPr>
          <w:rFonts w:ascii="仿宋_GB2312" w:eastAsia="仿宋_GB2312" w:hAnsi="黑体"/>
          <w:sz w:val="30"/>
          <w:szCs w:val="30"/>
        </w:rPr>
        <w:t>20</w:t>
      </w:r>
      <w:r>
        <w:rPr>
          <w:rFonts w:ascii="仿宋_GB2312" w:eastAsia="仿宋_GB2312" w:hAnsi="黑体" w:hint="eastAsia"/>
          <w:sz w:val="30"/>
          <w:szCs w:val="30"/>
        </w:rPr>
        <w:t>名本科生出国插班学习、实习、攻读硕士学位。</w:t>
      </w:r>
    </w:p>
    <w:p w:rsidR="006459DE" w:rsidRDefault="00242A2A">
      <w:pPr>
        <w:spacing w:line="560" w:lineRule="exact"/>
        <w:ind w:firstLineChars="200" w:firstLine="600"/>
        <w:rPr>
          <w:rFonts w:ascii="Times New Roman" w:eastAsia="仿宋_GB2312" w:hAnsi="Times New Roman"/>
          <w:sz w:val="30"/>
          <w:szCs w:val="30"/>
        </w:rPr>
      </w:pPr>
      <w:r w:rsidRPr="000577F3">
        <w:rPr>
          <w:rFonts w:ascii="华文楷体" w:eastAsia="华文楷体" w:hAnsi="华文楷体" w:hint="eastAsia"/>
          <w:sz w:val="30"/>
          <w:szCs w:val="30"/>
        </w:rPr>
        <w:t>加强教师国际交流。</w:t>
      </w:r>
      <w:r>
        <w:rPr>
          <w:rFonts w:ascii="仿宋_GB2312" w:eastAsia="仿宋_GB2312" w:hAnsi="黑体" w:hint="eastAsia"/>
          <w:sz w:val="30"/>
          <w:szCs w:val="30"/>
        </w:rPr>
        <w:t>学校与哈萨克斯坦国立农业大学、约旦大学、俄罗斯奥廖尔国立农业大学等15所高校签署或续签合作协议。至此，学校已与</w:t>
      </w:r>
      <w:r>
        <w:rPr>
          <w:rFonts w:ascii="仿宋_GB2312" w:eastAsia="仿宋_GB2312" w:hAnsi="黑体"/>
          <w:sz w:val="30"/>
          <w:szCs w:val="30"/>
        </w:rPr>
        <w:t>44</w:t>
      </w:r>
      <w:r>
        <w:rPr>
          <w:rFonts w:ascii="仿宋_GB2312" w:eastAsia="仿宋_GB2312" w:hAnsi="黑体" w:hint="eastAsia"/>
          <w:sz w:val="30"/>
          <w:szCs w:val="30"/>
        </w:rPr>
        <w:t>个国家（地区）的</w:t>
      </w:r>
      <w:r>
        <w:rPr>
          <w:rFonts w:ascii="仿宋_GB2312" w:eastAsia="仿宋_GB2312" w:hAnsi="黑体"/>
          <w:sz w:val="30"/>
          <w:szCs w:val="30"/>
        </w:rPr>
        <w:t>154</w:t>
      </w:r>
      <w:r>
        <w:rPr>
          <w:rFonts w:ascii="仿宋_GB2312" w:eastAsia="仿宋_GB2312" w:hAnsi="黑体" w:hint="eastAsia"/>
          <w:sz w:val="30"/>
          <w:szCs w:val="30"/>
        </w:rPr>
        <w:t>所海外大学或科研机构建立了合作关系。学校长期出国留学研修教师共有46人，其中38人通过“青年骨干教师出国研修项目”、“国家公派高级研究学者、访问学者、博士后项目”等项目派出。2016-2017学年，共有482人（次）出国（境）参加学术会议、访问及交流。</w:t>
      </w:r>
    </w:p>
    <w:p w:rsidR="006459DE" w:rsidRDefault="00242A2A">
      <w:pPr>
        <w:pStyle w:val="2"/>
        <w:spacing w:before="62" w:after="62"/>
      </w:pPr>
      <w:bookmarkStart w:id="13" w:name="_Toc502497573"/>
      <w:r>
        <w:rPr>
          <w:rFonts w:hint="eastAsia"/>
        </w:rPr>
        <w:t>4.</w:t>
      </w:r>
      <w:r w:rsidR="00251F0B">
        <w:rPr>
          <w:rFonts w:hint="eastAsia"/>
        </w:rPr>
        <w:t>扎实</w:t>
      </w:r>
      <w:r>
        <w:rPr>
          <w:rFonts w:hint="eastAsia"/>
        </w:rPr>
        <w:t>推进文化素质教育</w:t>
      </w:r>
      <w:bookmarkEnd w:id="13"/>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w:t>
      </w:r>
      <w:r>
        <w:rPr>
          <w:rFonts w:ascii="仿宋_GB2312" w:eastAsia="仿宋_GB2312" w:hint="eastAsia"/>
          <w:sz w:val="30"/>
          <w:szCs w:val="30"/>
        </w:rPr>
        <w:t>以提高学生综合素质为目标，大力加强第二课堂建设力度</w:t>
      </w:r>
      <w:r>
        <w:rPr>
          <w:rFonts w:ascii="仿宋_GB2312" w:eastAsia="仿宋_GB2312" w:hAnsi="黑体" w:hint="eastAsia"/>
          <w:sz w:val="30"/>
          <w:szCs w:val="30"/>
        </w:rPr>
        <w:t>，完善第一课堂与第二课堂紧密结合的育人体系，促进学生全面发展。</w:t>
      </w:r>
    </w:p>
    <w:p w:rsidR="006459DE" w:rsidRDefault="00242A2A">
      <w:pPr>
        <w:spacing w:line="560" w:lineRule="exact"/>
        <w:ind w:firstLineChars="200" w:firstLine="600"/>
        <w:rPr>
          <w:rFonts w:ascii="仿宋_GB2312" w:eastAsia="仿宋_GB2312"/>
          <w:sz w:val="30"/>
          <w:szCs w:val="30"/>
        </w:rPr>
      </w:pPr>
      <w:r>
        <w:rPr>
          <w:rFonts w:ascii="华文楷体" w:eastAsia="华文楷体" w:hAnsi="华文楷体" w:hint="eastAsia"/>
          <w:sz w:val="30"/>
          <w:szCs w:val="30"/>
        </w:rPr>
        <w:t>打造精品文化活动。</w:t>
      </w:r>
      <w:r>
        <w:rPr>
          <w:rFonts w:ascii="仿宋_GB2312" w:eastAsia="仿宋_GB2312" w:hint="eastAsia"/>
          <w:sz w:val="30"/>
          <w:szCs w:val="30"/>
        </w:rPr>
        <w:t>学校举办丰富多彩校园文化活动，促进学生知识、能力和素质协调发展。2016-2017学年，举办“校园之春”文化艺术节系列活动11项，“金秋科技”文化艺术节系列活动10项，参与师生达16,000余人次。此外，继续举办“校园十佳歌手大赛”、“校园舞蹈大赛”、“校园话剧大赛”、“形象之星风采大赛”等形式多样、健康向上、格调高雅的校园文化活动。</w:t>
      </w:r>
    </w:p>
    <w:p w:rsidR="006459DE" w:rsidRDefault="00242A2A">
      <w:pPr>
        <w:spacing w:line="560" w:lineRule="exact"/>
        <w:ind w:firstLineChars="200" w:firstLine="600"/>
        <w:rPr>
          <w:rFonts w:ascii="仿宋_GB2312" w:eastAsia="仿宋_GB2312"/>
          <w:sz w:val="30"/>
          <w:szCs w:val="30"/>
        </w:rPr>
      </w:pPr>
      <w:r>
        <w:rPr>
          <w:rFonts w:ascii="华文楷体" w:eastAsia="华文楷体" w:hAnsi="华文楷体" w:hint="eastAsia"/>
          <w:sz w:val="30"/>
          <w:szCs w:val="30"/>
        </w:rPr>
        <w:t>强化特色素质教育。</w:t>
      </w:r>
      <w:r>
        <w:rPr>
          <w:rFonts w:ascii="仿宋_GB2312" w:eastAsia="仿宋_GB2312" w:hint="eastAsia"/>
          <w:sz w:val="30"/>
          <w:szCs w:val="30"/>
        </w:rPr>
        <w:t>学校举办“品味西农—科研成果进社区”活动3次，免费为师生发放“农科大</w:t>
      </w:r>
      <w:r>
        <w:rPr>
          <w:rFonts w:ascii="仿宋_GB2312" w:eastAsia="仿宋_GB2312"/>
          <w:sz w:val="30"/>
          <w:szCs w:val="30"/>
        </w:rPr>
        <w:t>5</w:t>
      </w:r>
      <w:r>
        <w:rPr>
          <w:rFonts w:ascii="仿宋_GB2312" w:eastAsia="仿宋_GB2312" w:hint="eastAsia"/>
          <w:sz w:val="30"/>
          <w:szCs w:val="30"/>
        </w:rPr>
        <w:t>号”、“玲珑王”西瓜及“金香蜜”、“农大甜</w:t>
      </w:r>
      <w:r>
        <w:rPr>
          <w:rFonts w:ascii="仿宋_GB2312" w:eastAsia="仿宋_GB2312"/>
          <w:sz w:val="30"/>
          <w:szCs w:val="30"/>
        </w:rPr>
        <w:t>8</w:t>
      </w:r>
      <w:r>
        <w:rPr>
          <w:rFonts w:ascii="仿宋_GB2312" w:eastAsia="仿宋_GB2312" w:hint="eastAsia"/>
          <w:sz w:val="30"/>
          <w:szCs w:val="30"/>
        </w:rPr>
        <w:t>号”、“千玉</w:t>
      </w:r>
      <w:r>
        <w:rPr>
          <w:rFonts w:ascii="仿宋_GB2312" w:eastAsia="仿宋_GB2312"/>
          <w:sz w:val="30"/>
          <w:szCs w:val="30"/>
        </w:rPr>
        <w:t>6</w:t>
      </w:r>
      <w:r>
        <w:rPr>
          <w:rFonts w:ascii="仿宋_GB2312" w:eastAsia="仿宋_GB2312" w:hint="eastAsia"/>
          <w:sz w:val="30"/>
          <w:szCs w:val="30"/>
        </w:rPr>
        <w:t>号”甜瓜</w:t>
      </w:r>
      <w:r>
        <w:rPr>
          <w:rFonts w:ascii="仿宋_GB2312" w:eastAsia="仿宋_GB2312"/>
          <w:sz w:val="30"/>
          <w:szCs w:val="30"/>
        </w:rPr>
        <w:t>30</w:t>
      </w:r>
      <w:r>
        <w:rPr>
          <w:rFonts w:ascii="仿宋_GB2312" w:eastAsia="仿宋_GB2312" w:hint="eastAsia"/>
          <w:sz w:val="30"/>
          <w:szCs w:val="30"/>
        </w:rPr>
        <w:t>,</w:t>
      </w:r>
      <w:r>
        <w:rPr>
          <w:rFonts w:ascii="仿宋_GB2312" w:eastAsia="仿宋_GB2312"/>
          <w:sz w:val="30"/>
          <w:szCs w:val="30"/>
        </w:rPr>
        <w:t>000</w:t>
      </w:r>
      <w:r>
        <w:rPr>
          <w:rFonts w:ascii="仿宋_GB2312" w:eastAsia="仿宋_GB2312" w:hint="eastAsia"/>
          <w:sz w:val="30"/>
          <w:szCs w:val="30"/>
        </w:rPr>
        <w:t>斤，彩色土豆炖秦川牛肉</w:t>
      </w:r>
      <w:r>
        <w:rPr>
          <w:rFonts w:ascii="仿宋_GB2312" w:eastAsia="仿宋_GB2312"/>
          <w:sz w:val="30"/>
          <w:szCs w:val="30"/>
        </w:rPr>
        <w:t>30</w:t>
      </w:r>
      <w:r>
        <w:rPr>
          <w:rFonts w:ascii="仿宋_GB2312" w:eastAsia="仿宋_GB2312" w:hint="eastAsia"/>
          <w:sz w:val="30"/>
          <w:szCs w:val="30"/>
        </w:rPr>
        <w:t>,</w:t>
      </w:r>
      <w:r>
        <w:rPr>
          <w:rFonts w:ascii="仿宋_GB2312" w:eastAsia="仿宋_GB2312"/>
          <w:sz w:val="30"/>
          <w:szCs w:val="30"/>
        </w:rPr>
        <w:t>000</w:t>
      </w:r>
      <w:r>
        <w:rPr>
          <w:rFonts w:ascii="仿宋_GB2312" w:eastAsia="仿宋_GB2312" w:hint="eastAsia"/>
          <w:sz w:val="30"/>
          <w:szCs w:val="30"/>
        </w:rPr>
        <w:t>份，“秦樱</w:t>
      </w:r>
      <w:r>
        <w:rPr>
          <w:rFonts w:ascii="仿宋_GB2312" w:eastAsia="仿宋_GB2312"/>
          <w:sz w:val="30"/>
          <w:szCs w:val="30"/>
        </w:rPr>
        <w:t>1</w:t>
      </w:r>
      <w:r>
        <w:rPr>
          <w:rFonts w:ascii="仿宋_GB2312" w:eastAsia="仿宋_GB2312" w:hint="eastAsia"/>
          <w:sz w:val="30"/>
          <w:szCs w:val="30"/>
        </w:rPr>
        <w:t>号”、“吉美”等品种樱桃</w:t>
      </w:r>
      <w:r>
        <w:rPr>
          <w:rFonts w:ascii="仿宋_GB2312" w:eastAsia="仿宋_GB2312"/>
          <w:sz w:val="30"/>
          <w:szCs w:val="30"/>
        </w:rPr>
        <w:t>1</w:t>
      </w:r>
      <w:r>
        <w:rPr>
          <w:rFonts w:ascii="仿宋_GB2312" w:eastAsia="仿宋_GB2312" w:hint="eastAsia"/>
          <w:sz w:val="30"/>
          <w:szCs w:val="30"/>
        </w:rPr>
        <w:t>8,000斤，通过科研成果品味体验，养成学生“三农”情怀，帮助学生树立专业自信。学校持续开展秦岭生态文明实践、徒步考察母亲河、秦岭青年使者等活动，强化生态文明教育。</w:t>
      </w:r>
    </w:p>
    <w:p w:rsidR="006459DE" w:rsidRDefault="00242A2A">
      <w:pPr>
        <w:spacing w:line="560" w:lineRule="exact"/>
        <w:ind w:firstLineChars="200" w:firstLine="600"/>
        <w:rPr>
          <w:rFonts w:ascii="仿宋_GB2312" w:eastAsia="仿宋_GB2312"/>
          <w:sz w:val="30"/>
          <w:szCs w:val="30"/>
        </w:rPr>
      </w:pPr>
      <w:r>
        <w:rPr>
          <w:rFonts w:ascii="华文楷体" w:eastAsia="华文楷体" w:hAnsi="华文楷体" w:hint="eastAsia"/>
          <w:sz w:val="30"/>
          <w:szCs w:val="30"/>
        </w:rPr>
        <w:t>加强艺术教育力度。</w:t>
      </w:r>
      <w:r>
        <w:rPr>
          <w:rFonts w:ascii="仿宋_GB2312" w:eastAsia="仿宋_GB2312" w:hint="eastAsia"/>
          <w:sz w:val="30"/>
          <w:szCs w:val="30"/>
        </w:rPr>
        <w:t>学校成立大学生公共艺术教育中心，选聘优秀教师，开设艺术教育课程，培养学生艺术素养。邀请到陕西省话剧院话剧《心中的红蜡烛》、陕西省京剧院京剧折子戏《拾玉镯》《借扇》、美国节日交响乐团“黄河之水天上来”、李岚清艺术素描展、西安音乐学院歌剧《白鹿原》等高水平艺术作品来校展</w:t>
      </w:r>
      <w:r>
        <w:rPr>
          <w:rFonts w:ascii="仿宋_GB2312" w:eastAsia="仿宋_GB2312" w:hint="eastAsia"/>
          <w:spacing w:val="-8"/>
          <w:sz w:val="30"/>
          <w:szCs w:val="30"/>
        </w:rPr>
        <w:t>演；邀请将军罗援、演员六小龄童、企业家刘同、作家雪小禅等30余位社会文化名人来校作素质教育讲座，受益学生人数达到5万余人次</w:t>
      </w:r>
      <w:r>
        <w:rPr>
          <w:rFonts w:ascii="仿宋_GB2312" w:eastAsia="仿宋_GB2312" w:hint="eastAsia"/>
          <w:sz w:val="30"/>
          <w:szCs w:val="30"/>
        </w:rPr>
        <w:t>。</w:t>
      </w:r>
    </w:p>
    <w:p w:rsidR="006459DE" w:rsidRDefault="00242A2A">
      <w:pPr>
        <w:spacing w:line="560" w:lineRule="exact"/>
        <w:ind w:firstLineChars="200" w:firstLine="600"/>
        <w:rPr>
          <w:rFonts w:ascii="仿宋_GB2312" w:eastAsia="仿宋_GB2312"/>
          <w:sz w:val="30"/>
          <w:szCs w:val="30"/>
        </w:rPr>
      </w:pPr>
      <w:r>
        <w:rPr>
          <w:rFonts w:ascii="华文楷体" w:eastAsia="华文楷体" w:hAnsi="华文楷体" w:hint="eastAsia"/>
          <w:sz w:val="30"/>
          <w:szCs w:val="30"/>
        </w:rPr>
        <w:t>加强大学生社团建设</w:t>
      </w:r>
      <w:r>
        <w:rPr>
          <w:rFonts w:ascii="仿宋_GB2312" w:eastAsia="仿宋_GB2312" w:hint="eastAsia"/>
          <w:b/>
          <w:sz w:val="30"/>
          <w:szCs w:val="30"/>
        </w:rPr>
        <w:t>。</w:t>
      </w:r>
      <w:r>
        <w:rPr>
          <w:rFonts w:ascii="仿宋_GB2312" w:eastAsia="仿宋_GB2312" w:hint="eastAsia"/>
          <w:sz w:val="30"/>
          <w:szCs w:val="30"/>
        </w:rPr>
        <w:t>学校</w:t>
      </w:r>
      <w:r>
        <w:rPr>
          <w:rFonts w:ascii="仿宋_GB2312" w:eastAsia="仿宋_GB2312" w:hAnsi="宋体" w:hint="eastAsia"/>
          <w:sz w:val="30"/>
          <w:szCs w:val="30"/>
        </w:rPr>
        <w:t>成立</w:t>
      </w:r>
      <w:r>
        <w:rPr>
          <w:rFonts w:ascii="仿宋_GB2312" w:eastAsia="仿宋_GB2312" w:hint="eastAsia"/>
          <w:sz w:val="30"/>
          <w:szCs w:val="30"/>
        </w:rPr>
        <w:t>“</w:t>
      </w:r>
      <w:r>
        <w:rPr>
          <w:rFonts w:ascii="仿宋_GB2312" w:eastAsia="仿宋_GB2312" w:hAnsi="宋体" w:hint="eastAsia"/>
          <w:sz w:val="30"/>
          <w:szCs w:val="30"/>
        </w:rPr>
        <w:t>青年马克思主义研习社</w:t>
      </w:r>
      <w:r>
        <w:rPr>
          <w:rFonts w:ascii="仿宋_GB2312" w:eastAsia="仿宋_GB2312" w:hint="eastAsia"/>
          <w:sz w:val="30"/>
          <w:szCs w:val="30"/>
        </w:rPr>
        <w:t>”等16个新社团，大学生社团数量增至102个，经过不断建设，涌现出“青年志愿者协会”、“三农研究协会”、“大学生武术协会”等一批优秀学生社团。修订《大学生社团管理办法》，进一步规范学生社团管理，不断促进社团蓬勃发展。</w:t>
      </w:r>
    </w:p>
    <w:p w:rsidR="006459DE" w:rsidRDefault="00242A2A">
      <w:pPr>
        <w:spacing w:line="560" w:lineRule="exact"/>
        <w:ind w:firstLineChars="200" w:firstLine="600"/>
        <w:rPr>
          <w:rFonts w:ascii="仿宋_GB2312" w:eastAsia="仿宋_GB2312"/>
          <w:sz w:val="30"/>
          <w:szCs w:val="30"/>
        </w:rPr>
        <w:sectPr w:rsidR="006459DE">
          <w:pgSz w:w="11906" w:h="16838"/>
          <w:pgMar w:top="1701" w:right="1531" w:bottom="1418" w:left="1588" w:header="851" w:footer="992" w:gutter="0"/>
          <w:cols w:space="425"/>
          <w:docGrid w:type="lines" w:linePitch="312"/>
        </w:sectPr>
      </w:pPr>
      <w:r>
        <w:rPr>
          <w:rFonts w:ascii="仿宋_GB2312" w:eastAsia="仿宋_GB2312" w:hint="eastAsia"/>
          <w:sz w:val="30"/>
          <w:szCs w:val="30"/>
        </w:rPr>
        <w:t>2016-2017学年，大学生文化素质教育成果显著。原创话剧《雕虫沧桑》荣获第五届中国校园戏剧节“优秀剧目奖”；大学生艺术团舞蹈团荣获陕西省大学生文化艺术节舞蹈大赛冠军；大学生艺术团模特队获陕西省大学生文化艺术节模特及创意服饰大赛冠军；大学生艺术团阮乐团获2017年新加坡南洋国际音乐大赛金奖；生命学院傅宣豪获第五届中国校园戏剧节“校园之星”荣誉称号；博士生张炜炜获2017年第十六届“陕西青年五四奖章”荣誉称号；林学院景福军获2017年中国大学生“自强之星”荣誉称号。</w:t>
      </w:r>
    </w:p>
    <w:p w:rsidR="006459DE" w:rsidRDefault="00242A2A">
      <w:pPr>
        <w:pStyle w:val="1"/>
        <w:spacing w:before="156" w:after="156"/>
      </w:pPr>
      <w:bookmarkStart w:id="14" w:name="_Toc502497574"/>
      <w:r>
        <w:rPr>
          <w:rFonts w:hint="eastAsia"/>
        </w:rPr>
        <w:t>第四部分</w:t>
      </w:r>
      <w:r>
        <w:rPr>
          <w:rFonts w:hint="eastAsia"/>
        </w:rPr>
        <w:t xml:space="preserve">  </w:t>
      </w:r>
      <w:r>
        <w:rPr>
          <w:rFonts w:hint="eastAsia"/>
        </w:rPr>
        <w:t>教学质量保障</w:t>
      </w:r>
      <w:bookmarkEnd w:id="14"/>
    </w:p>
    <w:p w:rsidR="006459DE" w:rsidRDefault="00242A2A">
      <w:pPr>
        <w:pStyle w:val="2"/>
        <w:spacing w:before="62" w:after="62"/>
      </w:pPr>
      <w:bookmarkStart w:id="15" w:name="_Toc502497575"/>
      <w:r>
        <w:rPr>
          <w:rFonts w:hint="eastAsia"/>
        </w:rPr>
        <w:t>1.</w:t>
      </w:r>
      <w:r>
        <w:rPr>
          <w:rFonts w:hint="eastAsia"/>
        </w:rPr>
        <w:t>强化人才培养中心地位</w:t>
      </w:r>
      <w:bookmarkEnd w:id="15"/>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深入贯彻落实习近平总书记关于教育新理念新思想新战略，按照学校“双一流”建设方案，确立了“实施一流本科教育、培养一流本科人才”的工作理念。学校把人才培养摆在中心地位，把加强本科教学工作和提高本科教学质量作为中心工作来抓，建立教学质量党政一把手负责制，明确学校党委书记和校长是学校教学质量的第一责任人。2016-2017学年，校级领导平均深入院系、场站调研25次，平均深入课堂听课（观摩）8学时。党委常委会、校长办公会研究有关教学议题36项。出台《科研促进本科教学的若干规定》，积极推进人才培养与科学研究、学科建设的协同发展。</w:t>
      </w:r>
    </w:p>
    <w:p w:rsidR="006459DE" w:rsidRDefault="00242A2A">
      <w:pPr>
        <w:pStyle w:val="2"/>
        <w:spacing w:before="62" w:after="62"/>
      </w:pPr>
      <w:bookmarkStart w:id="16" w:name="_Toc502497576"/>
      <w:r>
        <w:rPr>
          <w:rFonts w:hint="eastAsia"/>
        </w:rPr>
        <w:t>2.</w:t>
      </w:r>
      <w:r>
        <w:rPr>
          <w:rFonts w:hint="eastAsia"/>
        </w:rPr>
        <w:t>做好审核评估工作</w:t>
      </w:r>
      <w:bookmarkEnd w:id="16"/>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积极开展自查自建。</w:t>
      </w:r>
      <w:r>
        <w:rPr>
          <w:rFonts w:ascii="仿宋_GB2312" w:eastAsia="仿宋_GB2312" w:hAnsi="黑体" w:hint="eastAsia"/>
          <w:sz w:val="30"/>
          <w:szCs w:val="30"/>
        </w:rPr>
        <w:t>本科教学工作审核评估是教育部对普通高等学校本科教学工作的全面评价。为落实“以评促建，以评促改，以评促管，评建结合，重在建设”方针，学校开展本科教学工作自评，完成了本科教学工作审核评估所需的自评报告、数据分析报告、支撑材料、案头材料以及迎评方案。学校按照审核评估的“五个度”，先后开展了人才培养方案“回头看”、教学档案规范化建设、实践教学基地标准化建设、教师讲课说课、教学文化氛围营造等系列活动，对学校本科教学工作展开全面的自查自建，本科教学工作得到改进，本科教学质量得到提升。</w:t>
      </w:r>
    </w:p>
    <w:p w:rsidR="006459DE" w:rsidRDefault="00242A2A">
      <w:pPr>
        <w:spacing w:line="560" w:lineRule="exact"/>
        <w:ind w:firstLineChars="200" w:firstLine="600"/>
        <w:rPr>
          <w:rFonts w:ascii="仿宋_GB2312" w:eastAsia="仿宋_GB2312" w:hAnsi="黑体"/>
          <w:sz w:val="30"/>
          <w:szCs w:val="30"/>
        </w:rPr>
      </w:pPr>
      <w:r>
        <w:rPr>
          <w:rFonts w:ascii="华文楷体" w:eastAsia="华文楷体" w:hAnsi="华文楷体" w:hint="eastAsia"/>
          <w:sz w:val="30"/>
          <w:szCs w:val="30"/>
        </w:rPr>
        <w:t>真正实现以评促建。</w:t>
      </w:r>
      <w:r>
        <w:rPr>
          <w:rFonts w:ascii="仿宋_GB2312" w:eastAsia="仿宋_GB2312" w:hAnsi="黑体" w:hint="eastAsia"/>
          <w:sz w:val="30"/>
          <w:szCs w:val="30"/>
        </w:rPr>
        <w:t>学校以迎接审核评估为契机，开展了</w:t>
      </w:r>
      <w:r w:rsidR="000577F3">
        <w:rPr>
          <w:rFonts w:ascii="仿宋_GB2312" w:eastAsia="仿宋_GB2312" w:hAnsi="黑体" w:hint="eastAsia"/>
          <w:sz w:val="30"/>
          <w:szCs w:val="30"/>
        </w:rPr>
        <w:t>一系列卓有成效</w:t>
      </w:r>
      <w:r>
        <w:rPr>
          <w:rFonts w:ascii="仿宋_GB2312" w:eastAsia="仿宋_GB2312" w:hAnsi="黑体" w:hint="eastAsia"/>
          <w:sz w:val="30"/>
          <w:szCs w:val="30"/>
        </w:rPr>
        <w:t>工作。一是系统梳理教学管理制度。完成了教学管理制度汇编，修订了部分制度文件，建立了完善的教学管理制度体系。二是</w:t>
      </w:r>
      <w:r w:rsidR="000577F3">
        <w:rPr>
          <w:rFonts w:ascii="仿宋_GB2312" w:eastAsia="仿宋_GB2312" w:hAnsi="黑体" w:hint="eastAsia"/>
          <w:sz w:val="30"/>
          <w:szCs w:val="30"/>
        </w:rPr>
        <w:t>加强</w:t>
      </w:r>
      <w:r>
        <w:rPr>
          <w:rFonts w:ascii="仿宋_GB2312" w:eastAsia="仿宋_GB2312" w:hAnsi="黑体" w:hint="eastAsia"/>
          <w:sz w:val="30"/>
          <w:szCs w:val="30"/>
        </w:rPr>
        <w:t>硬件环境建设。完成所有教室净化、亮化、美化工作，新建14间智慧教室，完成植物生产园区、大学生工程训练中心等改造，教学设施、实验室环境条件明显改善。三是出台《关于进一步加强大学生学风建设的实施意见》《课堂教学质量提升实施方案》等文件，加强学生考风考纪教育，严抓试卷和毕业论文管理，强化了教学过程管理、严肃教学秩序，实现了教学质量监控的常态化、规范化、制度化，保障了教学</w:t>
      </w:r>
      <w:r w:rsidR="000577F3">
        <w:rPr>
          <w:rFonts w:ascii="仿宋_GB2312" w:eastAsia="仿宋_GB2312" w:hAnsi="黑体" w:hint="eastAsia"/>
          <w:sz w:val="30"/>
          <w:szCs w:val="30"/>
        </w:rPr>
        <w:t>工作</w:t>
      </w:r>
      <w:r>
        <w:rPr>
          <w:rFonts w:ascii="仿宋_GB2312" w:eastAsia="仿宋_GB2312" w:hAnsi="黑体" w:hint="eastAsia"/>
          <w:sz w:val="30"/>
          <w:szCs w:val="30"/>
        </w:rPr>
        <w:t>平稳进行。四是突出问题导向。制定《西北农林科技大学本科教学工作改进方案》，针对自评中发现的6方面突出问题和25个主要问题，提出40项具体改进任务，</w:t>
      </w:r>
      <w:r w:rsidR="000577F3">
        <w:rPr>
          <w:rFonts w:ascii="仿宋_GB2312" w:eastAsia="仿宋_GB2312" w:hAnsi="黑体" w:hint="eastAsia"/>
          <w:sz w:val="30"/>
          <w:szCs w:val="30"/>
        </w:rPr>
        <w:t>逐项</w:t>
      </w:r>
      <w:r>
        <w:rPr>
          <w:rFonts w:ascii="仿宋_GB2312" w:eastAsia="仿宋_GB2312" w:hAnsi="黑体" w:hint="eastAsia"/>
          <w:sz w:val="30"/>
          <w:szCs w:val="30"/>
        </w:rPr>
        <w:t>逐条进行整改</w:t>
      </w:r>
      <w:r w:rsidR="000577F3">
        <w:rPr>
          <w:rFonts w:ascii="仿宋_GB2312" w:eastAsia="仿宋_GB2312" w:hAnsi="黑体" w:hint="eastAsia"/>
          <w:sz w:val="30"/>
          <w:szCs w:val="30"/>
        </w:rPr>
        <w:t>,达到了“以评促改”的目的</w:t>
      </w:r>
      <w:r>
        <w:rPr>
          <w:rFonts w:ascii="仿宋_GB2312" w:eastAsia="仿宋_GB2312" w:hAnsi="黑体" w:hint="eastAsia"/>
          <w:sz w:val="30"/>
          <w:szCs w:val="30"/>
        </w:rPr>
        <w:t>。</w:t>
      </w:r>
    </w:p>
    <w:p w:rsidR="006459DE" w:rsidRDefault="00242A2A">
      <w:pPr>
        <w:pStyle w:val="2"/>
        <w:spacing w:before="62" w:after="62"/>
      </w:pPr>
      <w:bookmarkStart w:id="17" w:name="_Toc502497577"/>
      <w:r>
        <w:rPr>
          <w:rFonts w:hint="eastAsia"/>
        </w:rPr>
        <w:t>3.</w:t>
      </w:r>
      <w:r>
        <w:rPr>
          <w:rFonts w:hint="eastAsia"/>
        </w:rPr>
        <w:t>推动专业认证</w:t>
      </w:r>
      <w:bookmarkEnd w:id="17"/>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工程教育专业认证是国际通行的工程教育质量保障制度，也是实现工程教育国际互认和工程师资格国际互认的重要基础。学校食品科学与工程专业于2016年10月份递交工程教育认证申请，同年12月申请正式受理。2017年6月，教育部专家组组长夏文水主持召开食品科学与工程专业工程教育专业认证现场考查反馈会。专家组对我校食品科学与工程专业的办学水平予以肯定，专家普遍认为食品科学与工程专业学生专业生源稳定，专业目标定位符合学校办学目标，学院基础扎实，毕业要求能够支撑培养目标，课程体系基本完备，师资队伍和支撑条件能够支持课程体系。学校食品科学与工程专业也是国内农业院校中第一个进行食品科学与工程专业工程教育认证的专业。</w:t>
      </w:r>
    </w:p>
    <w:p w:rsidR="006459DE" w:rsidRDefault="00242A2A">
      <w:pPr>
        <w:pStyle w:val="2"/>
        <w:spacing w:before="62" w:after="62"/>
      </w:pPr>
      <w:bookmarkStart w:id="18" w:name="_Toc502497578"/>
      <w:r>
        <w:rPr>
          <w:rFonts w:hint="eastAsia"/>
        </w:rPr>
        <w:t>4.</w:t>
      </w:r>
      <w:r>
        <w:rPr>
          <w:rFonts w:hint="eastAsia"/>
        </w:rPr>
        <w:t>开展本科教学基本状态分析</w:t>
      </w:r>
      <w:bookmarkEnd w:id="18"/>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建立本科教学基本状态数据库是建设我国高等教育质量保障体系的重要内容，也是学校开展教学常态监测的有效手段。在第三方专业公司的协助下，参照教育部数据系统，搭建了学校数据填报和分析系统，生成了《西北农林科技大学本科教学状态数据分析报告》，用分析报告的结果来改进本科教学，有力改进了本科教学工作。</w:t>
      </w:r>
      <w:r w:rsidR="001E1C8A">
        <w:rPr>
          <w:rFonts w:ascii="仿宋_GB2312" w:eastAsia="仿宋_GB2312" w:hAnsi="黑体" w:hint="eastAsia"/>
          <w:sz w:val="30"/>
          <w:szCs w:val="30"/>
        </w:rPr>
        <w:t>此外，各学院（系）</w:t>
      </w:r>
      <w:r>
        <w:rPr>
          <w:rFonts w:ascii="仿宋_GB2312" w:eastAsia="仿宋_GB2312" w:hAnsi="黑体" w:hint="eastAsia"/>
          <w:sz w:val="30"/>
          <w:szCs w:val="30"/>
        </w:rPr>
        <w:t>继续实施年度教学质量报告制度及基本状态数据公示制度，要求二级教学单位编制并发布本科教学质量年度报告，查找存在的问题，增强教学管理的针对性，提升教学质量和办学水平。</w:t>
      </w:r>
    </w:p>
    <w:p w:rsidR="006459DE" w:rsidRDefault="00242A2A">
      <w:pPr>
        <w:pStyle w:val="2"/>
        <w:spacing w:before="62" w:after="62"/>
      </w:pPr>
      <w:bookmarkStart w:id="19" w:name="_Toc502497579"/>
      <w:r>
        <w:rPr>
          <w:rFonts w:hint="eastAsia"/>
        </w:rPr>
        <w:t>5.</w:t>
      </w:r>
      <w:r>
        <w:rPr>
          <w:rFonts w:hint="eastAsia"/>
        </w:rPr>
        <w:t>完善教学检查、督导和信息反馈机制</w:t>
      </w:r>
      <w:bookmarkStart w:id="20" w:name="_Toc495750651"/>
      <w:bookmarkEnd w:id="19"/>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学校坚持学期“三查”、院（处）级领导干部听课、学生评教等制度，有效保障教学工作的正常运行及各个环节按质量标准规范执行。学期“三查”</w:t>
      </w:r>
      <w:r w:rsidR="001E1C8A">
        <w:rPr>
          <w:rFonts w:ascii="仿宋_GB2312" w:eastAsia="仿宋_GB2312" w:hAnsi="黑体" w:hint="eastAsia"/>
          <w:sz w:val="30"/>
          <w:szCs w:val="30"/>
        </w:rPr>
        <w:t>，即学期初检查、期中检查和学期末检查，将教学检查贯穿于整个学期</w:t>
      </w:r>
      <w:r>
        <w:rPr>
          <w:rFonts w:ascii="仿宋_GB2312" w:eastAsia="仿宋_GB2312" w:hAnsi="黑体" w:hint="eastAsia"/>
          <w:sz w:val="30"/>
          <w:szCs w:val="30"/>
        </w:rPr>
        <w:t>。坚持处级及以上领导干部深入课堂听课，收集各类意见建议2,300余条，并进行积极反馈，有效促进课堂教学质量提升。坚持校院两级教学督导，尤其是完善学院教学督导制度，建立起完备的教学督导体系，积极组织听课、抽查教学档案等。坚持学生评教，将学生评教结果作为教师教学质量测评和绩效考核的重要依据，结果显示整体满意度在95%以上。学校坚持教学质量报告信息公开制度，接受校内外监督。学校不定期开展问卷调查，获取学生对教师的教学行为以及学校教学工作的意见和建议，并及时反馈给任课教师及各相关部门。</w:t>
      </w:r>
      <w:bookmarkEnd w:id="20"/>
    </w:p>
    <w:p w:rsidR="006459DE" w:rsidRDefault="00242A2A">
      <w:pPr>
        <w:pStyle w:val="1"/>
        <w:spacing w:before="156" w:after="156"/>
      </w:pPr>
      <w:bookmarkStart w:id="21" w:name="_Toc502497580"/>
      <w:r>
        <w:rPr>
          <w:rFonts w:hint="eastAsia"/>
        </w:rPr>
        <w:t>第五部分</w:t>
      </w:r>
      <w:r>
        <w:rPr>
          <w:rFonts w:hint="eastAsia"/>
        </w:rPr>
        <w:t xml:space="preserve">  </w:t>
      </w:r>
      <w:r>
        <w:rPr>
          <w:rFonts w:hint="eastAsia"/>
        </w:rPr>
        <w:t>学生学习效果</w:t>
      </w:r>
      <w:bookmarkEnd w:id="21"/>
    </w:p>
    <w:p w:rsidR="006459DE" w:rsidRDefault="00242A2A">
      <w:pPr>
        <w:pStyle w:val="2"/>
        <w:spacing w:before="62" w:after="62"/>
      </w:pPr>
      <w:bookmarkStart w:id="22" w:name="_Toc502497581"/>
      <w:r>
        <w:rPr>
          <w:rFonts w:hint="eastAsia"/>
        </w:rPr>
        <w:t>1.</w:t>
      </w:r>
      <w:r>
        <w:rPr>
          <w:rFonts w:hint="eastAsia"/>
        </w:rPr>
        <w:t>学生学习成果</w:t>
      </w:r>
      <w:bookmarkEnd w:id="22"/>
    </w:p>
    <w:p w:rsidR="006459DE" w:rsidRDefault="00242A2A" w:rsidP="0022181C">
      <w:pPr>
        <w:spacing w:line="560" w:lineRule="exact"/>
        <w:ind w:firstLineChars="200" w:firstLine="600"/>
        <w:rPr>
          <w:rFonts w:ascii="仿宋_GB2312" w:eastAsia="仿宋_GB2312" w:hAnsi="黑体"/>
          <w:sz w:val="30"/>
          <w:szCs w:val="30"/>
        </w:rPr>
      </w:pPr>
      <w:r>
        <w:rPr>
          <w:rFonts w:ascii="楷体" w:eastAsia="楷体" w:hAnsi="楷体" w:hint="eastAsia"/>
          <w:sz w:val="30"/>
          <w:szCs w:val="30"/>
        </w:rPr>
        <w:t>毕业及</w:t>
      </w:r>
      <w:r w:rsidRPr="00242A2A">
        <w:rPr>
          <w:rFonts w:ascii="楷体" w:eastAsia="楷体" w:hAnsi="楷体" w:hint="eastAsia"/>
          <w:sz w:val="30"/>
          <w:szCs w:val="30"/>
        </w:rPr>
        <w:t>学位授予。</w:t>
      </w:r>
      <w:r>
        <w:rPr>
          <w:rFonts w:ascii="仿宋_GB2312" w:eastAsia="仿宋_GB2312" w:hAnsi="黑体" w:hint="eastAsia"/>
          <w:spacing w:val="-6"/>
          <w:sz w:val="30"/>
          <w:szCs w:val="30"/>
        </w:rPr>
        <w:t>2017年，普通本科毕业生人数5,364人，其中毕业5,243人，结业42人，毕业率97.02%，授予学士学位</w:t>
      </w:r>
      <w:r>
        <w:rPr>
          <w:rFonts w:ascii="仿宋_GB2312" w:eastAsia="仿宋_GB2312" w:hAnsi="黑体" w:hint="eastAsia"/>
          <w:sz w:val="30"/>
          <w:szCs w:val="30"/>
        </w:rPr>
        <w:t>5,179人，学位授予率为98.78%。</w:t>
      </w:r>
    </w:p>
    <w:p w:rsidR="006459DE" w:rsidRDefault="00242A2A">
      <w:pPr>
        <w:spacing w:line="580" w:lineRule="exact"/>
        <w:ind w:firstLineChars="200" w:firstLine="600"/>
        <w:rPr>
          <w:rFonts w:ascii="楷体" w:eastAsia="楷体" w:hAnsi="楷体"/>
          <w:sz w:val="30"/>
          <w:szCs w:val="30"/>
        </w:rPr>
      </w:pPr>
      <w:r>
        <w:rPr>
          <w:rFonts w:ascii="楷体" w:eastAsia="楷体" w:hAnsi="楷体" w:hint="eastAsia"/>
          <w:sz w:val="30"/>
          <w:szCs w:val="30"/>
        </w:rPr>
        <w:t>学生的学业成绩优良，创新能力明显提升。</w:t>
      </w:r>
      <w:r>
        <w:rPr>
          <w:rFonts w:ascii="仿宋_GB2312" w:eastAsia="仿宋_GB2312" w:hAnsi="黑体" w:hint="eastAsia"/>
          <w:sz w:val="30"/>
          <w:szCs w:val="30"/>
        </w:rPr>
        <w:t>2016-2017学年，学生在各类竞赛、专业比赛中获得佳绩。张继耀、马贺等同学在第五届全国大学生工程训练综合能力竞赛陕西赛区中获得一等奖；秦艺航、胡贝多等同学在2017年全国大学生英语竞赛中获得一等奖；彭真、徐鹏等同学在2017国际数学建模竞赛中获得三等奖；陈昊、张德伟等同学在2017中国服务机器人大赛中获得一等奖；刘朝洋、刘惠森等同学在“华为杯”大学生智能设计竞赛中获得三等奖；党燕娜、史延等同学在第一届全国大学生动物科专业技能大赛中获得一等奖；杨涵琪</w:t>
      </w:r>
      <w:r w:rsidR="001E1C8A">
        <w:rPr>
          <w:rFonts w:ascii="仿宋_GB2312" w:eastAsia="仿宋_GB2312" w:hAnsi="黑体" w:hint="eastAsia"/>
          <w:sz w:val="30"/>
          <w:szCs w:val="30"/>
        </w:rPr>
        <w:t>、</w:t>
      </w:r>
      <w:r>
        <w:rPr>
          <w:rFonts w:ascii="仿宋_GB2312" w:eastAsia="仿宋_GB2312" w:hAnsi="黑体" w:hint="eastAsia"/>
          <w:sz w:val="30"/>
          <w:szCs w:val="30"/>
        </w:rPr>
        <w:t>王珍等同学在第四届全国“生泰尔杯”大学生动物医学专业技能大赛中获得一等奖；张宇、武师宇等同学在第五届中国校园戏剧节中获得一等奖。学生获得省部级及以上学科竞赛奖项331项，其中国际级4项、国家级231项、省部级96项。学生获得省部级及以上本科生创新活动、技能竞赛奖项37项，其中国家级11项、省部级26项。学生发表学术论文81篇，获</w:t>
      </w:r>
      <w:r w:rsidR="001E1C8A">
        <w:rPr>
          <w:rFonts w:ascii="仿宋_GB2312" w:eastAsia="仿宋_GB2312" w:hAnsi="黑体" w:hint="eastAsia"/>
          <w:sz w:val="30"/>
          <w:szCs w:val="30"/>
        </w:rPr>
        <w:t>授权</w:t>
      </w:r>
      <w:r>
        <w:rPr>
          <w:rFonts w:ascii="仿宋_GB2312" w:eastAsia="仿宋_GB2312" w:hAnsi="黑体" w:hint="eastAsia"/>
          <w:sz w:val="30"/>
          <w:szCs w:val="30"/>
        </w:rPr>
        <w:t>专利36</w:t>
      </w:r>
      <w:r w:rsidR="001E1C8A">
        <w:rPr>
          <w:rFonts w:ascii="仿宋_GB2312" w:eastAsia="仿宋_GB2312" w:hAnsi="黑体" w:hint="eastAsia"/>
          <w:sz w:val="30"/>
          <w:szCs w:val="30"/>
        </w:rPr>
        <w:t>件</w:t>
      </w:r>
      <w:r>
        <w:rPr>
          <w:rFonts w:ascii="仿宋_GB2312" w:eastAsia="仿宋_GB2312" w:hAnsi="黑体" w:hint="eastAsia"/>
          <w:sz w:val="30"/>
          <w:szCs w:val="30"/>
        </w:rPr>
        <w:t>。</w:t>
      </w:r>
    </w:p>
    <w:p w:rsidR="006459DE" w:rsidRDefault="00242A2A">
      <w:pPr>
        <w:pStyle w:val="2"/>
        <w:spacing w:before="62" w:after="62"/>
      </w:pPr>
      <w:bookmarkStart w:id="23" w:name="_Toc502497582"/>
      <w:r>
        <w:rPr>
          <w:rFonts w:hint="eastAsia"/>
        </w:rPr>
        <w:t>2.</w:t>
      </w:r>
      <w:r>
        <w:rPr>
          <w:rFonts w:hint="eastAsia"/>
        </w:rPr>
        <w:t>毕业生就业质量</w:t>
      </w:r>
      <w:bookmarkEnd w:id="23"/>
    </w:p>
    <w:p w:rsidR="006459DE" w:rsidRDefault="00242A2A">
      <w:pPr>
        <w:spacing w:line="580" w:lineRule="exact"/>
        <w:ind w:firstLineChars="200" w:firstLine="600"/>
        <w:rPr>
          <w:rFonts w:ascii="仿宋_GB2312" w:eastAsia="仿宋_GB2312" w:hAnsi="黑体"/>
          <w:sz w:val="30"/>
          <w:szCs w:val="30"/>
        </w:rPr>
      </w:pPr>
      <w:r>
        <w:rPr>
          <w:rFonts w:ascii="仿宋_GB2312" w:eastAsia="仿宋_GB2312" w:hAnsi="黑体" w:hint="eastAsia"/>
          <w:sz w:val="30"/>
          <w:szCs w:val="30"/>
        </w:rPr>
        <w:t>2017届本科毕业生初次就业率为91.78%。升学出国再创新高，人数连续5年保持增长。动物科技学院、创新实验学院、葡萄酒学院等11个学院的升学出国（境）率高于40%，动物科学、草业科学、生物科学等31个专业升学出国（境）率高于40%。1,437人进入国家“双一流”建设高校深造，159名毕业生进入中国科学院等国家级科研院所。233名本科毕业生到美国康奈尔大学、</w:t>
      </w:r>
      <w:r w:rsidR="006E1FCB">
        <w:rPr>
          <w:rFonts w:ascii="仿宋_GB2312" w:eastAsia="仿宋_GB2312" w:hAnsi="黑体" w:hint="eastAsia"/>
          <w:sz w:val="30"/>
          <w:szCs w:val="30"/>
        </w:rPr>
        <w:t>英国帝国理工学院、英国曼彻斯特大学、英国爱丁堡大学、澳大利亚国立大学、墨尔本大学等国际</w:t>
      </w:r>
      <w:r>
        <w:rPr>
          <w:rFonts w:ascii="仿宋_GB2312" w:eastAsia="仿宋_GB2312" w:hAnsi="黑体" w:hint="eastAsia"/>
          <w:sz w:val="30"/>
          <w:szCs w:val="30"/>
        </w:rPr>
        <w:t>知名高校求学。</w:t>
      </w:r>
    </w:p>
    <w:p w:rsidR="006459DE" w:rsidRDefault="00242A2A">
      <w:pPr>
        <w:jc w:val="center"/>
        <w:rPr>
          <w:rFonts w:ascii="仿宋_GB2312" w:eastAsia="仿宋_GB2312" w:hAnsi="黑体"/>
          <w:sz w:val="30"/>
          <w:szCs w:val="30"/>
        </w:rPr>
      </w:pPr>
      <w:r>
        <w:rPr>
          <w:rFonts w:ascii="仿宋_GB2312" w:eastAsia="仿宋_GB2312" w:hAnsi="黑体" w:hint="eastAsia"/>
          <w:noProof/>
          <w:sz w:val="30"/>
          <w:szCs w:val="30"/>
        </w:rPr>
        <w:drawing>
          <wp:inline distT="0" distB="0" distL="0" distR="0" wp14:anchorId="4C3EF316" wp14:editId="260066FD">
            <wp:extent cx="5700395" cy="280035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0" cstate="print"/>
                    <a:stretch>
                      <a:fillRect/>
                    </a:stretch>
                  </pic:blipFill>
                  <pic:spPr>
                    <a:xfrm>
                      <a:off x="0" y="0"/>
                      <a:ext cx="5699125" cy="2804795"/>
                    </a:xfrm>
                    <a:prstGeom prst="rect">
                      <a:avLst/>
                    </a:prstGeom>
                    <a:noFill/>
                    <a:ln w="9525">
                      <a:noFill/>
                    </a:ln>
                  </pic:spPr>
                </pic:pic>
              </a:graphicData>
            </a:graphic>
          </wp:inline>
        </w:drawing>
      </w:r>
    </w:p>
    <w:p w:rsidR="006459DE" w:rsidRDefault="00242A2A">
      <w:pPr>
        <w:spacing w:line="560" w:lineRule="exact"/>
        <w:jc w:val="center"/>
        <w:rPr>
          <w:rFonts w:asciiTheme="majorEastAsia" w:eastAsiaTheme="majorEastAsia" w:hAnsiTheme="majorEastAsia"/>
          <w:b/>
          <w:spacing w:val="-6"/>
          <w:sz w:val="24"/>
          <w:szCs w:val="24"/>
        </w:rPr>
      </w:pPr>
      <w:r>
        <w:rPr>
          <w:rFonts w:asciiTheme="majorEastAsia" w:eastAsiaTheme="majorEastAsia" w:hAnsiTheme="majorEastAsia" w:hint="eastAsia"/>
          <w:b/>
          <w:spacing w:val="-6"/>
          <w:sz w:val="24"/>
          <w:szCs w:val="24"/>
        </w:rPr>
        <w:t>图5-1  2017届本科毕业生升学、出国(境)</w:t>
      </w:r>
      <w:r w:rsidR="006E1FCB" w:rsidRPr="006E1FCB">
        <w:rPr>
          <w:rFonts w:asciiTheme="majorEastAsia" w:eastAsiaTheme="majorEastAsia" w:hAnsiTheme="majorEastAsia" w:hint="eastAsia"/>
          <w:b/>
          <w:spacing w:val="-6"/>
          <w:sz w:val="24"/>
          <w:szCs w:val="24"/>
        </w:rPr>
        <w:t xml:space="preserve"> </w:t>
      </w:r>
      <w:r w:rsidR="006E1FCB">
        <w:rPr>
          <w:rFonts w:asciiTheme="majorEastAsia" w:eastAsiaTheme="majorEastAsia" w:hAnsiTheme="majorEastAsia" w:hint="eastAsia"/>
          <w:b/>
          <w:spacing w:val="-6"/>
          <w:sz w:val="24"/>
          <w:szCs w:val="24"/>
        </w:rPr>
        <w:t>率</w:t>
      </w:r>
      <w:r>
        <w:rPr>
          <w:rFonts w:asciiTheme="majorEastAsia" w:eastAsiaTheme="majorEastAsia" w:hAnsiTheme="majorEastAsia" w:hint="eastAsia"/>
          <w:b/>
          <w:spacing w:val="-6"/>
          <w:sz w:val="24"/>
          <w:szCs w:val="24"/>
        </w:rPr>
        <w:t>排名高于40%的学院（系）</w:t>
      </w:r>
    </w:p>
    <w:p w:rsidR="006459DE" w:rsidRDefault="006459DE">
      <w:pPr>
        <w:spacing w:line="560" w:lineRule="exact"/>
        <w:jc w:val="center"/>
        <w:rPr>
          <w:rFonts w:ascii="仿宋_GB2312" w:eastAsia="仿宋_GB2312" w:hAnsi="黑体"/>
          <w:sz w:val="30"/>
          <w:szCs w:val="30"/>
        </w:rPr>
      </w:pPr>
    </w:p>
    <w:p w:rsidR="006459DE" w:rsidRDefault="00242A2A">
      <w:pPr>
        <w:spacing w:line="580" w:lineRule="exact"/>
        <w:ind w:firstLineChars="200" w:firstLine="600"/>
        <w:rPr>
          <w:rFonts w:ascii="仿宋_GB2312" w:eastAsia="仿宋_GB2312" w:hAnsi="黑体"/>
          <w:sz w:val="30"/>
          <w:szCs w:val="30"/>
        </w:rPr>
      </w:pPr>
      <w:r>
        <w:rPr>
          <w:rFonts w:ascii="仿宋_GB2312" w:eastAsia="仿宋_GB2312" w:hAnsi="黑体" w:hint="eastAsia"/>
          <w:sz w:val="30"/>
          <w:szCs w:val="30"/>
        </w:rPr>
        <w:t>毕业生就业人数最多的区域分别是西北地区、华东地区、华北地区、华南地区和华中地区，就业人数分别为1,153人、480人、439人、413人和261人。就业人数最多的行业分别是农林牧渔业、制造业、信息传输、软件和信息技术服务等行业。</w:t>
      </w:r>
    </w:p>
    <w:p w:rsidR="006459DE" w:rsidRDefault="00242A2A">
      <w:pP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14:anchorId="787BC323" wp14:editId="3EF9FDA4">
            <wp:extent cx="5461000" cy="3514725"/>
            <wp:effectExtent l="19050" t="0" r="6224"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1" cstate="print"/>
                    <a:srcRect r="3167"/>
                    <a:stretch>
                      <a:fillRect/>
                    </a:stretch>
                  </pic:blipFill>
                  <pic:spPr>
                    <a:xfrm>
                      <a:off x="0" y="0"/>
                      <a:ext cx="5461126" cy="3514725"/>
                    </a:xfrm>
                    <a:prstGeom prst="rect">
                      <a:avLst/>
                    </a:prstGeom>
                    <a:noFill/>
                    <a:ln w="9525">
                      <a:noFill/>
                      <a:miter lim="800000"/>
                      <a:headEnd/>
                      <a:tailEnd/>
                    </a:ln>
                  </pic:spPr>
                </pic:pic>
              </a:graphicData>
            </a:graphic>
          </wp:inline>
        </w:drawing>
      </w:r>
    </w:p>
    <w:p w:rsidR="006459DE" w:rsidRDefault="00242A2A">
      <w:pPr>
        <w:pStyle w:val="3"/>
        <w:spacing w:beforeLines="0" w:afterLines="0"/>
        <w:rPr>
          <w:rFonts w:ascii="仿宋_GB2312" w:eastAsia="仿宋_GB2312" w:hAnsi="黑体"/>
          <w:sz w:val="30"/>
          <w:szCs w:val="30"/>
        </w:rPr>
      </w:pPr>
      <w:r>
        <w:t>图</w:t>
      </w:r>
      <w:r>
        <w:rPr>
          <w:rFonts w:hint="eastAsia"/>
        </w:rPr>
        <w:t>5-2</w:t>
      </w:r>
      <w:r>
        <w:t xml:space="preserve">  2017届本科毕业生就业行业流向</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本科毕业生签约世界500强企业、中国500强企业、民营500强企业人数分别为362人、529人和230人。毕业生起薪主要分布在4000-6000元之间，起薪4,000元以上的本科毕业生占80.82%。</w:t>
      </w:r>
    </w:p>
    <w:p w:rsidR="006459DE" w:rsidRDefault="00242A2A">
      <w:pPr>
        <w:tabs>
          <w:tab w:val="left" w:pos="735"/>
        </w:tabs>
        <w:spacing w:beforeLines="50" w:before="156" w:line="360" w:lineRule="auto"/>
        <w:jc w:val="center"/>
        <w:rPr>
          <w:rFonts w:asciiTheme="majorEastAsia" w:eastAsiaTheme="majorEastAsia" w:hAnsiTheme="majorEastAsia"/>
          <w:b/>
          <w:bCs/>
          <w:sz w:val="24"/>
          <w:szCs w:val="32"/>
        </w:rPr>
      </w:pPr>
      <w:r>
        <w:rPr>
          <w:rFonts w:asciiTheme="majorEastAsia" w:eastAsiaTheme="majorEastAsia" w:hAnsiTheme="majorEastAsia" w:hint="eastAsia"/>
          <w:b/>
          <w:bCs/>
          <w:sz w:val="24"/>
          <w:szCs w:val="32"/>
        </w:rPr>
        <w:t>表5-</w:t>
      </w:r>
      <w:r w:rsidR="006E1FCB">
        <w:rPr>
          <w:rFonts w:asciiTheme="majorEastAsia" w:eastAsiaTheme="majorEastAsia" w:hAnsiTheme="majorEastAsia" w:hint="eastAsia"/>
          <w:b/>
          <w:bCs/>
          <w:sz w:val="24"/>
          <w:szCs w:val="32"/>
        </w:rPr>
        <w:t>1</w:t>
      </w:r>
      <w:r>
        <w:rPr>
          <w:rFonts w:asciiTheme="majorEastAsia" w:eastAsiaTheme="majorEastAsia" w:hAnsiTheme="majorEastAsia" w:hint="eastAsia"/>
          <w:b/>
          <w:bCs/>
          <w:sz w:val="24"/>
          <w:szCs w:val="32"/>
        </w:rPr>
        <w:t xml:space="preserve">  2017届本科毕业生签约500强企业就业情况</w:t>
      </w:r>
    </w:p>
    <w:tbl>
      <w:tblPr>
        <w:tblW w:w="8901" w:type="dxa"/>
        <w:tblBorders>
          <w:top w:val="single" w:sz="12" w:space="0" w:color="72A7BA"/>
          <w:bottom w:val="single" w:sz="12" w:space="0" w:color="E26A69"/>
        </w:tblBorders>
        <w:tblLayout w:type="fixed"/>
        <w:tblCellMar>
          <w:left w:w="57" w:type="dxa"/>
          <w:right w:w="57" w:type="dxa"/>
        </w:tblCellMar>
        <w:tblLook w:val="04A0" w:firstRow="1" w:lastRow="0" w:firstColumn="1" w:lastColumn="0" w:noHBand="0" w:noVBand="1"/>
      </w:tblPr>
      <w:tblGrid>
        <w:gridCol w:w="2612"/>
        <w:gridCol w:w="2688"/>
        <w:gridCol w:w="3601"/>
      </w:tblGrid>
      <w:tr w:rsidR="006459DE" w:rsidTr="006F588A">
        <w:trPr>
          <w:trHeight w:val="403"/>
        </w:trPr>
        <w:tc>
          <w:tcPr>
            <w:tcW w:w="2612" w:type="dxa"/>
            <w:tcBorders>
              <w:top w:val="single" w:sz="4" w:space="0" w:color="FF0000"/>
              <w:bottom w:val="single" w:sz="4" w:space="0" w:color="FF0000"/>
            </w:tcBorders>
            <w:shd w:val="clear" w:color="auto" w:fill="72A7BA"/>
            <w:vAlign w:val="center"/>
          </w:tcPr>
          <w:p w:rsidR="006459DE" w:rsidRDefault="00242A2A">
            <w:pPr>
              <w:widowControl/>
              <w:spacing w:line="360" w:lineRule="auto"/>
              <w:jc w:val="center"/>
              <w:rPr>
                <w:rFonts w:ascii="Times New Roman" w:eastAsia="黑体" w:hAnsi="Times New Roman"/>
                <w:b/>
                <w:color w:val="FFFFFF"/>
                <w:kern w:val="0"/>
                <w:sz w:val="18"/>
                <w:szCs w:val="20"/>
              </w:rPr>
            </w:pPr>
            <w:r>
              <w:rPr>
                <w:rFonts w:ascii="Times New Roman" w:eastAsia="黑体" w:hAnsi="Times New Roman"/>
                <w:b/>
                <w:color w:val="FFFFFF"/>
                <w:kern w:val="0"/>
                <w:sz w:val="18"/>
                <w:szCs w:val="20"/>
              </w:rPr>
              <w:t>企业类型</w:t>
            </w:r>
          </w:p>
        </w:tc>
        <w:tc>
          <w:tcPr>
            <w:tcW w:w="2688" w:type="dxa"/>
            <w:tcBorders>
              <w:top w:val="single" w:sz="4" w:space="0" w:color="FF0000"/>
              <w:bottom w:val="single" w:sz="4" w:space="0" w:color="FF0000"/>
            </w:tcBorders>
            <w:shd w:val="clear" w:color="auto" w:fill="72A7BA"/>
            <w:vAlign w:val="center"/>
          </w:tcPr>
          <w:p w:rsidR="006459DE" w:rsidRDefault="00242A2A">
            <w:pPr>
              <w:widowControl/>
              <w:spacing w:line="360" w:lineRule="auto"/>
              <w:jc w:val="center"/>
              <w:rPr>
                <w:rFonts w:ascii="Times New Roman" w:eastAsia="黑体" w:hAnsi="Times New Roman"/>
                <w:b/>
                <w:color w:val="FFFFFF"/>
                <w:kern w:val="0"/>
                <w:sz w:val="18"/>
                <w:szCs w:val="20"/>
              </w:rPr>
            </w:pPr>
            <w:r>
              <w:rPr>
                <w:rFonts w:ascii="Times New Roman" w:eastAsia="黑体" w:hAnsi="Times New Roman"/>
                <w:b/>
                <w:color w:val="FFFFFF"/>
                <w:kern w:val="0"/>
                <w:sz w:val="18"/>
                <w:szCs w:val="20"/>
              </w:rPr>
              <w:t>本科生人数</w:t>
            </w:r>
          </w:p>
        </w:tc>
        <w:tc>
          <w:tcPr>
            <w:tcW w:w="3601" w:type="dxa"/>
            <w:tcBorders>
              <w:top w:val="single" w:sz="4" w:space="0" w:color="FF0000"/>
              <w:bottom w:val="single" w:sz="4" w:space="0" w:color="FF0000"/>
            </w:tcBorders>
            <w:shd w:val="clear" w:color="auto" w:fill="72A7BA"/>
            <w:vAlign w:val="center"/>
          </w:tcPr>
          <w:p w:rsidR="006459DE" w:rsidRDefault="00242A2A">
            <w:pPr>
              <w:widowControl/>
              <w:spacing w:line="360" w:lineRule="auto"/>
              <w:jc w:val="center"/>
              <w:rPr>
                <w:rFonts w:ascii="Times New Roman" w:eastAsia="黑体" w:hAnsi="Times New Roman"/>
                <w:b/>
                <w:color w:val="FFFFFF"/>
                <w:kern w:val="0"/>
                <w:sz w:val="18"/>
                <w:szCs w:val="20"/>
              </w:rPr>
            </w:pPr>
            <w:r>
              <w:rPr>
                <w:rFonts w:ascii="Times New Roman" w:eastAsia="黑体" w:hAnsi="Times New Roman"/>
                <w:b/>
                <w:color w:val="FFFFFF"/>
                <w:kern w:val="0"/>
                <w:sz w:val="18"/>
                <w:szCs w:val="20"/>
              </w:rPr>
              <w:t>占企业就业人数比例（</w:t>
            </w:r>
            <w:r>
              <w:rPr>
                <w:rFonts w:ascii="Times New Roman" w:eastAsia="黑体" w:hAnsi="Times New Roman"/>
                <w:b/>
                <w:color w:val="FFFFFF"/>
                <w:kern w:val="0"/>
                <w:sz w:val="18"/>
                <w:szCs w:val="20"/>
              </w:rPr>
              <w:t>%</w:t>
            </w:r>
            <w:r>
              <w:rPr>
                <w:rFonts w:ascii="Times New Roman" w:eastAsia="黑体" w:hAnsi="Times New Roman"/>
                <w:b/>
                <w:color w:val="FFFFFF"/>
                <w:kern w:val="0"/>
                <w:sz w:val="18"/>
                <w:szCs w:val="20"/>
              </w:rPr>
              <w:t>）</w:t>
            </w:r>
          </w:p>
        </w:tc>
      </w:tr>
      <w:tr w:rsidR="006459DE" w:rsidTr="006F588A">
        <w:trPr>
          <w:trHeight w:val="403"/>
        </w:trPr>
        <w:tc>
          <w:tcPr>
            <w:tcW w:w="2612" w:type="dxa"/>
            <w:tcBorders>
              <w:top w:val="single" w:sz="4" w:space="0" w:color="FF0000"/>
            </w:tcBorders>
            <w:shd w:val="clear" w:color="auto" w:fill="auto"/>
            <w:vAlign w:val="center"/>
          </w:tcPr>
          <w:p w:rsidR="006459DE" w:rsidRDefault="00242A2A">
            <w:pPr>
              <w:widowControl/>
              <w:spacing w:line="360" w:lineRule="auto"/>
              <w:jc w:val="center"/>
              <w:rPr>
                <w:rFonts w:ascii="Times New Roman" w:eastAsia="黑体" w:hAnsi="Times New Roman"/>
                <w:color w:val="000000"/>
                <w:kern w:val="0"/>
                <w:sz w:val="18"/>
                <w:szCs w:val="20"/>
              </w:rPr>
            </w:pPr>
            <w:r>
              <w:rPr>
                <w:rFonts w:ascii="Times New Roman" w:eastAsia="黑体" w:hAnsi="Times New Roman"/>
                <w:color w:val="000000"/>
                <w:kern w:val="0"/>
                <w:sz w:val="18"/>
                <w:szCs w:val="20"/>
              </w:rPr>
              <w:t>世界</w:t>
            </w:r>
            <w:r>
              <w:rPr>
                <w:rFonts w:ascii="Times New Roman" w:eastAsia="黑体" w:hAnsi="Times New Roman"/>
                <w:color w:val="000000"/>
                <w:kern w:val="0"/>
                <w:sz w:val="18"/>
                <w:szCs w:val="20"/>
              </w:rPr>
              <w:t>500</w:t>
            </w:r>
            <w:r>
              <w:rPr>
                <w:rFonts w:ascii="Times New Roman" w:eastAsia="黑体" w:hAnsi="Times New Roman"/>
                <w:color w:val="000000"/>
                <w:kern w:val="0"/>
                <w:sz w:val="18"/>
                <w:szCs w:val="20"/>
              </w:rPr>
              <w:t>强企业</w:t>
            </w:r>
          </w:p>
        </w:tc>
        <w:tc>
          <w:tcPr>
            <w:tcW w:w="2688" w:type="dxa"/>
            <w:tcBorders>
              <w:top w:val="single" w:sz="4" w:space="0" w:color="FF0000"/>
            </w:tcBorders>
            <w:shd w:val="clear" w:color="auto" w:fill="auto"/>
            <w:vAlign w:val="center"/>
          </w:tcPr>
          <w:p w:rsidR="006459DE" w:rsidRDefault="00242A2A">
            <w:pPr>
              <w:widowControl/>
              <w:spacing w:line="360" w:lineRule="auto"/>
              <w:jc w:val="center"/>
              <w:rPr>
                <w:rFonts w:ascii="Times New Roman" w:hAnsi="Times New Roman"/>
                <w:color w:val="000000"/>
                <w:kern w:val="0"/>
                <w:sz w:val="18"/>
                <w:szCs w:val="20"/>
              </w:rPr>
            </w:pPr>
            <w:r>
              <w:rPr>
                <w:rFonts w:ascii="Times New Roman" w:hAnsi="Times New Roman"/>
                <w:color w:val="000000"/>
                <w:kern w:val="0"/>
                <w:sz w:val="18"/>
                <w:szCs w:val="20"/>
              </w:rPr>
              <w:t>362</w:t>
            </w:r>
          </w:p>
        </w:tc>
        <w:tc>
          <w:tcPr>
            <w:tcW w:w="3601" w:type="dxa"/>
            <w:tcBorders>
              <w:top w:val="single" w:sz="4" w:space="0" w:color="FF0000"/>
            </w:tcBorders>
            <w:shd w:val="clear" w:color="auto" w:fill="auto"/>
            <w:vAlign w:val="center"/>
          </w:tcPr>
          <w:p w:rsidR="006459DE" w:rsidRDefault="00242A2A">
            <w:pPr>
              <w:widowControl/>
              <w:spacing w:line="360" w:lineRule="auto"/>
              <w:jc w:val="center"/>
              <w:rPr>
                <w:rFonts w:ascii="Times New Roman" w:hAnsi="Times New Roman"/>
                <w:color w:val="000000"/>
                <w:kern w:val="0"/>
                <w:sz w:val="18"/>
                <w:szCs w:val="20"/>
              </w:rPr>
            </w:pPr>
            <w:r>
              <w:rPr>
                <w:rFonts w:ascii="Times New Roman" w:hAnsi="Times New Roman"/>
                <w:color w:val="000000"/>
                <w:kern w:val="0"/>
                <w:sz w:val="18"/>
                <w:szCs w:val="20"/>
              </w:rPr>
              <w:t>14.72</w:t>
            </w:r>
          </w:p>
        </w:tc>
      </w:tr>
      <w:tr w:rsidR="006459DE" w:rsidTr="006F588A">
        <w:trPr>
          <w:trHeight w:val="403"/>
        </w:trPr>
        <w:tc>
          <w:tcPr>
            <w:tcW w:w="2612" w:type="dxa"/>
            <w:tcBorders>
              <w:bottom w:val="nil"/>
            </w:tcBorders>
            <w:shd w:val="clear" w:color="auto" w:fill="FAE6E6"/>
            <w:vAlign w:val="center"/>
          </w:tcPr>
          <w:p w:rsidR="006459DE" w:rsidRDefault="00242A2A">
            <w:pPr>
              <w:widowControl/>
              <w:spacing w:line="360" w:lineRule="auto"/>
              <w:jc w:val="center"/>
              <w:rPr>
                <w:rFonts w:ascii="Times New Roman" w:eastAsia="黑体" w:hAnsi="Times New Roman"/>
                <w:color w:val="000000"/>
                <w:kern w:val="0"/>
                <w:sz w:val="18"/>
                <w:szCs w:val="20"/>
              </w:rPr>
            </w:pPr>
            <w:r>
              <w:rPr>
                <w:rFonts w:ascii="Times New Roman" w:eastAsia="黑体" w:hAnsi="Times New Roman"/>
                <w:color w:val="000000"/>
                <w:kern w:val="0"/>
                <w:sz w:val="18"/>
                <w:szCs w:val="20"/>
              </w:rPr>
              <w:t>中国</w:t>
            </w:r>
            <w:r>
              <w:rPr>
                <w:rFonts w:ascii="Times New Roman" w:eastAsia="黑体" w:hAnsi="Times New Roman"/>
                <w:color w:val="000000"/>
                <w:kern w:val="0"/>
                <w:sz w:val="18"/>
                <w:szCs w:val="20"/>
              </w:rPr>
              <w:t>500</w:t>
            </w:r>
            <w:r>
              <w:rPr>
                <w:rFonts w:ascii="Times New Roman" w:eastAsia="黑体" w:hAnsi="Times New Roman"/>
                <w:color w:val="000000"/>
                <w:kern w:val="0"/>
                <w:sz w:val="18"/>
                <w:szCs w:val="20"/>
              </w:rPr>
              <w:t>强企业</w:t>
            </w:r>
          </w:p>
        </w:tc>
        <w:tc>
          <w:tcPr>
            <w:tcW w:w="2688" w:type="dxa"/>
            <w:tcBorders>
              <w:bottom w:val="nil"/>
            </w:tcBorders>
            <w:shd w:val="clear" w:color="auto" w:fill="FAE6E6"/>
            <w:vAlign w:val="center"/>
          </w:tcPr>
          <w:p w:rsidR="006459DE" w:rsidRDefault="00242A2A">
            <w:pPr>
              <w:widowControl/>
              <w:spacing w:line="360" w:lineRule="auto"/>
              <w:jc w:val="center"/>
              <w:rPr>
                <w:rFonts w:ascii="Times New Roman" w:hAnsi="Times New Roman"/>
                <w:color w:val="000000"/>
                <w:kern w:val="0"/>
                <w:sz w:val="18"/>
                <w:szCs w:val="20"/>
              </w:rPr>
            </w:pPr>
            <w:r>
              <w:rPr>
                <w:rFonts w:ascii="Times New Roman" w:hAnsi="Times New Roman"/>
                <w:color w:val="000000"/>
                <w:kern w:val="0"/>
                <w:sz w:val="18"/>
                <w:szCs w:val="20"/>
              </w:rPr>
              <w:t>529</w:t>
            </w:r>
          </w:p>
        </w:tc>
        <w:tc>
          <w:tcPr>
            <w:tcW w:w="3601" w:type="dxa"/>
            <w:tcBorders>
              <w:bottom w:val="nil"/>
            </w:tcBorders>
            <w:shd w:val="clear" w:color="auto" w:fill="FAE6E6"/>
            <w:vAlign w:val="center"/>
          </w:tcPr>
          <w:p w:rsidR="006459DE" w:rsidRDefault="00242A2A">
            <w:pPr>
              <w:widowControl/>
              <w:spacing w:line="360" w:lineRule="auto"/>
              <w:jc w:val="center"/>
              <w:rPr>
                <w:rFonts w:ascii="Times New Roman" w:hAnsi="Times New Roman"/>
                <w:color w:val="000000"/>
                <w:kern w:val="0"/>
                <w:sz w:val="18"/>
                <w:szCs w:val="20"/>
              </w:rPr>
            </w:pPr>
            <w:r>
              <w:rPr>
                <w:rFonts w:ascii="Times New Roman" w:hAnsi="Times New Roman"/>
                <w:color w:val="000000"/>
                <w:kern w:val="0"/>
                <w:sz w:val="18"/>
                <w:szCs w:val="20"/>
              </w:rPr>
              <w:t>21.50</w:t>
            </w:r>
          </w:p>
        </w:tc>
      </w:tr>
      <w:tr w:rsidR="006459DE" w:rsidTr="006F588A">
        <w:trPr>
          <w:trHeight w:val="403"/>
        </w:trPr>
        <w:tc>
          <w:tcPr>
            <w:tcW w:w="2612" w:type="dxa"/>
            <w:tcBorders>
              <w:top w:val="nil"/>
              <w:bottom w:val="single" w:sz="4" w:space="0" w:color="FF0000"/>
            </w:tcBorders>
            <w:shd w:val="clear" w:color="auto" w:fill="auto"/>
            <w:vAlign w:val="center"/>
          </w:tcPr>
          <w:p w:rsidR="006459DE" w:rsidRDefault="00242A2A">
            <w:pPr>
              <w:widowControl/>
              <w:spacing w:line="360" w:lineRule="auto"/>
              <w:jc w:val="center"/>
              <w:rPr>
                <w:rFonts w:ascii="Times New Roman" w:eastAsia="黑体" w:hAnsi="Times New Roman"/>
                <w:color w:val="000000"/>
                <w:kern w:val="0"/>
                <w:sz w:val="18"/>
                <w:szCs w:val="20"/>
              </w:rPr>
            </w:pPr>
            <w:r>
              <w:rPr>
                <w:rFonts w:ascii="Times New Roman" w:eastAsia="黑体" w:hAnsi="Times New Roman"/>
                <w:color w:val="000000"/>
                <w:kern w:val="0"/>
                <w:sz w:val="18"/>
                <w:szCs w:val="20"/>
              </w:rPr>
              <w:t>民营</w:t>
            </w:r>
            <w:r>
              <w:rPr>
                <w:rFonts w:ascii="Times New Roman" w:eastAsia="黑体" w:hAnsi="Times New Roman"/>
                <w:color w:val="000000"/>
                <w:kern w:val="0"/>
                <w:sz w:val="18"/>
                <w:szCs w:val="20"/>
              </w:rPr>
              <w:t>500</w:t>
            </w:r>
            <w:r>
              <w:rPr>
                <w:rFonts w:ascii="Times New Roman" w:eastAsia="黑体" w:hAnsi="Times New Roman"/>
                <w:color w:val="000000"/>
                <w:kern w:val="0"/>
                <w:sz w:val="18"/>
                <w:szCs w:val="20"/>
              </w:rPr>
              <w:t>强企业</w:t>
            </w:r>
          </w:p>
        </w:tc>
        <w:tc>
          <w:tcPr>
            <w:tcW w:w="2688" w:type="dxa"/>
            <w:tcBorders>
              <w:top w:val="nil"/>
              <w:bottom w:val="single" w:sz="4" w:space="0" w:color="FF0000"/>
            </w:tcBorders>
            <w:shd w:val="clear" w:color="auto" w:fill="auto"/>
            <w:vAlign w:val="center"/>
          </w:tcPr>
          <w:p w:rsidR="006459DE" w:rsidRDefault="00242A2A">
            <w:pPr>
              <w:widowControl/>
              <w:spacing w:line="360" w:lineRule="auto"/>
              <w:jc w:val="center"/>
              <w:rPr>
                <w:rFonts w:ascii="Times New Roman" w:hAnsi="Times New Roman"/>
                <w:color w:val="000000"/>
                <w:kern w:val="0"/>
                <w:sz w:val="18"/>
                <w:szCs w:val="20"/>
              </w:rPr>
            </w:pPr>
            <w:r>
              <w:rPr>
                <w:rFonts w:ascii="Times New Roman" w:hAnsi="Times New Roman"/>
                <w:color w:val="000000"/>
                <w:kern w:val="0"/>
                <w:sz w:val="18"/>
                <w:szCs w:val="20"/>
              </w:rPr>
              <w:t>230</w:t>
            </w:r>
          </w:p>
        </w:tc>
        <w:tc>
          <w:tcPr>
            <w:tcW w:w="3601" w:type="dxa"/>
            <w:tcBorders>
              <w:top w:val="nil"/>
              <w:bottom w:val="single" w:sz="4" w:space="0" w:color="FF0000"/>
            </w:tcBorders>
            <w:shd w:val="clear" w:color="auto" w:fill="auto"/>
            <w:vAlign w:val="center"/>
          </w:tcPr>
          <w:p w:rsidR="006459DE" w:rsidRDefault="00242A2A">
            <w:pPr>
              <w:widowControl/>
              <w:spacing w:line="360" w:lineRule="auto"/>
              <w:jc w:val="center"/>
              <w:rPr>
                <w:rFonts w:ascii="Times New Roman" w:hAnsi="Times New Roman"/>
                <w:color w:val="000000"/>
                <w:kern w:val="0"/>
                <w:sz w:val="18"/>
                <w:szCs w:val="20"/>
              </w:rPr>
            </w:pPr>
            <w:r>
              <w:rPr>
                <w:rFonts w:ascii="Times New Roman" w:hAnsi="Times New Roman"/>
                <w:color w:val="000000"/>
                <w:kern w:val="0"/>
                <w:sz w:val="18"/>
                <w:szCs w:val="20"/>
              </w:rPr>
              <w:t>9.35</w:t>
            </w:r>
          </w:p>
        </w:tc>
      </w:tr>
    </w:tbl>
    <w:p w:rsidR="006F588A" w:rsidRDefault="006F588A" w:rsidP="006F588A">
      <w:pPr>
        <w:spacing w:line="240" w:lineRule="exact"/>
        <w:ind w:firstLineChars="200" w:firstLine="600"/>
        <w:rPr>
          <w:rFonts w:ascii="仿宋_GB2312" w:eastAsia="仿宋_GB2312" w:hAnsi="黑体"/>
          <w:sz w:val="30"/>
          <w:szCs w:val="30"/>
        </w:rPr>
      </w:pPr>
      <w:bookmarkStart w:id="24" w:name="_Toc502497583"/>
    </w:p>
    <w:p w:rsidR="006F588A" w:rsidRPr="006F588A" w:rsidRDefault="006F588A" w:rsidP="006F588A">
      <w:pPr>
        <w:ind w:firstLineChars="200" w:firstLine="600"/>
      </w:pPr>
      <w:r w:rsidRPr="006F588A">
        <w:rPr>
          <w:rFonts w:ascii="仿宋_GB2312" w:eastAsia="仿宋_GB2312" w:hAnsi="黑体" w:hint="eastAsia"/>
          <w:sz w:val="30"/>
          <w:szCs w:val="30"/>
        </w:rPr>
        <w:t>我校毕业生时刻牢记服务旱区现代农业发展的国家使命，积极奔赴祖国西部建功立业。2017年共有1,311名本科毕业生到西部12省就业，占就业总人数的47.79%；农科类就业毕业生中有61.6%的毕业生进入农林牧渔业和水利、环境及公共设施管理等行业就业。</w:t>
      </w:r>
    </w:p>
    <w:p w:rsidR="006459DE" w:rsidRDefault="00242A2A" w:rsidP="006F588A">
      <w:pPr>
        <w:pStyle w:val="2"/>
        <w:spacing w:before="62" w:after="62"/>
      </w:pPr>
      <w:r>
        <w:rPr>
          <w:rFonts w:hint="eastAsia"/>
        </w:rPr>
        <w:t>3.</w:t>
      </w:r>
      <w:r>
        <w:rPr>
          <w:rFonts w:hint="eastAsia"/>
        </w:rPr>
        <w:t>学生体质状况及体育代表队竞技成绩</w:t>
      </w:r>
      <w:bookmarkEnd w:id="24"/>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学校面向一、二年级本科生开设17项体育必修课，面向全校本科生开设20项体育公共选修课。根据师资和场地条件的实际，满足学生选课需求；强化课程建设，丰富教学内容。要求每次课身体素质练习</w:t>
      </w:r>
      <w:r>
        <w:rPr>
          <w:rFonts w:ascii="仿宋_GB2312" w:eastAsia="仿宋_GB2312" w:hAnsi="黑体" w:hint="eastAsia"/>
          <w:spacing w:val="4"/>
          <w:sz w:val="30"/>
          <w:szCs w:val="30"/>
        </w:rPr>
        <w:t>不少于30分钟；通过多年的实践，俱乐部教学效果明显，提高了学生学习体育项目的积极性。每年组织全体体</w:t>
      </w:r>
      <w:r>
        <w:rPr>
          <w:rFonts w:ascii="仿宋_GB2312" w:eastAsia="仿宋_GB2312" w:hAnsi="黑体" w:hint="eastAsia"/>
          <w:sz w:val="30"/>
          <w:szCs w:val="30"/>
        </w:rPr>
        <w:t>育教师对全校2万余名本科生进行学生体质健康标准测试，并按时完成数据上报工作。2016-2017学年体质健康标准测试合格率93.03%。测试结果显示，学生体质健康状况良好。</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hint="eastAsia"/>
          <w:sz w:val="30"/>
          <w:szCs w:val="30"/>
        </w:rPr>
        <w:t>学校网球高水平队为主力队员组成的陕西省大学生网球代表队在第十三届全国学生运动会中获得女子团体第六名，男子双打第五名，女子双打第八名，学校代表队在第二十二届中国大学生网球锦标赛获得女子乙组团体第七名,在陕西省大学生网球锦标赛中获得男子乙组、女子乙组、男女乙组，女子甲组四项第一名。学校各学生代表队在第四届中国大学生阳光排球锦标赛中获得女子排球亚军，在陕西省大学生排球联赛分获男、女排冠军，实现四连冠；在2017年“中体明星杯”全国大学生桥牌锦标赛中获得女子团体第五名；在第三届CUBA中国大学生篮球联赛中获得第七名；在CUBA全国大学生篮球联赛陕西省预选赛中，分获男、女冠军；在中国大学生羽毛球挑战赛中，者渝芸/付巾书获得女子双打季军，李嘉淇/赵越获混合双打第五名；在2017年陕西省大学生游泳锦标赛中，获甲组男子、女子、男女团体3项冠军，实现四连冠。学年内，学生在各类体育竞赛中获奖40项，其中国家级15项、省部级25项。</w:t>
      </w:r>
    </w:p>
    <w:p w:rsidR="006459DE" w:rsidRDefault="00242A2A">
      <w:pPr>
        <w:pStyle w:val="2"/>
        <w:spacing w:before="62" w:after="62"/>
      </w:pPr>
      <w:bookmarkStart w:id="25" w:name="_Toc502497584"/>
      <w:r>
        <w:rPr>
          <w:rFonts w:hint="eastAsia"/>
        </w:rPr>
        <w:t>4.</w:t>
      </w:r>
      <w:r>
        <w:rPr>
          <w:rFonts w:hint="eastAsia"/>
        </w:rPr>
        <w:t>社会对毕业生的评价</w:t>
      </w:r>
      <w:bookmarkEnd w:id="25"/>
    </w:p>
    <w:p w:rsidR="006459DE" w:rsidRDefault="00242A2A">
      <w:pPr>
        <w:spacing w:line="560" w:lineRule="exact"/>
        <w:ind w:firstLineChars="250" w:firstLine="750"/>
        <w:rPr>
          <w:rFonts w:ascii="仿宋_GB2312" w:eastAsia="仿宋_GB2312" w:hAnsi="黑体"/>
          <w:sz w:val="30"/>
          <w:szCs w:val="30"/>
        </w:rPr>
      </w:pPr>
      <w:r>
        <w:rPr>
          <w:rFonts w:ascii="仿宋_GB2312" w:eastAsia="仿宋_GB2312" w:hAnsi="黑体" w:hint="eastAsia"/>
          <w:sz w:val="30"/>
          <w:szCs w:val="30"/>
        </w:rPr>
        <w:t>2017年5月，学校以问卷调查方式，从专业技能、发展潜力、沟通协调能力等9个方面，向157家用人单位开展学校毕业生评价。数据显示，用人单位对我校2017届毕业生非常满意和比较满意的比例高达98.73%。用人单位普遍认为我校毕业生专业基础扎实，工作认真负责，有较强的敬业精神，有良好的道德素养。用人单位对我校毕业</w:t>
      </w:r>
      <w:r>
        <w:rPr>
          <w:rFonts w:ascii="仿宋_GB2312" w:eastAsia="仿宋_GB2312" w:hAnsi="黑体" w:hint="eastAsia"/>
          <w:spacing w:val="6"/>
          <w:sz w:val="30"/>
          <w:szCs w:val="30"/>
        </w:rPr>
        <w:t>生最满意的素质能力包括：诚信、工作责任心、团队合作能力、专业基础知识、组织能力、自我</w:t>
      </w:r>
      <w:r>
        <w:rPr>
          <w:rFonts w:ascii="仿宋_GB2312" w:eastAsia="仿宋_GB2312" w:hAnsi="黑体" w:hint="eastAsia"/>
          <w:sz w:val="30"/>
          <w:szCs w:val="30"/>
        </w:rPr>
        <w:t>调控能力、表达与表现能力、创新能力。</w:t>
      </w:r>
    </w:p>
    <w:p w:rsidR="006459DE" w:rsidRDefault="00242A2A">
      <w:pPr>
        <w:spacing w:line="560" w:lineRule="exact"/>
        <w:ind w:firstLineChars="200" w:firstLine="600"/>
        <w:rPr>
          <w:rFonts w:ascii="仿宋_GB2312" w:eastAsia="仿宋_GB2312" w:hAnsi="黑体"/>
          <w:spacing w:val="6"/>
          <w:sz w:val="30"/>
          <w:szCs w:val="30"/>
        </w:rPr>
      </w:pPr>
      <w:r>
        <w:rPr>
          <w:rFonts w:ascii="仿宋_GB2312" w:eastAsia="仿宋_GB2312" w:hAnsi="黑体" w:hint="eastAsia"/>
          <w:sz w:val="30"/>
          <w:szCs w:val="30"/>
        </w:rPr>
        <w:t>2017年7月，学校以问卷调查方式，对我校2014届、2015届及2016届2,832名本科毕业生进行跟踪调查。数据显示，74.6%毕业生对目前从事工作持满意态度；96.7%的毕业生认为自己的知识和能力获得了工作单位的认可；85%的毕业生认为目前的工作发展前景比较乐观；96.1%的毕业生对未来的计划都比较明确；70.1%的毕业生认为自己对所学专业的基本理论和基本技能掌握得较好；93.8%的毕业生对我校培养工作持肯定态度。</w:t>
      </w:r>
    </w:p>
    <w:p w:rsidR="006459DE" w:rsidRDefault="00242A2A">
      <w:pPr>
        <w:pStyle w:val="2"/>
        <w:spacing w:before="62" w:after="62"/>
      </w:pPr>
      <w:bookmarkStart w:id="26" w:name="_Toc502497585"/>
      <w:r>
        <w:rPr>
          <w:rFonts w:hint="eastAsia"/>
        </w:rPr>
        <w:t>5.</w:t>
      </w:r>
      <w:r>
        <w:rPr>
          <w:rFonts w:hint="eastAsia"/>
        </w:rPr>
        <w:t>学生学习经历满意度</w:t>
      </w:r>
      <w:bookmarkEnd w:id="26"/>
    </w:p>
    <w:p w:rsidR="006459DE" w:rsidRDefault="00242A2A">
      <w:pPr>
        <w:spacing w:line="560" w:lineRule="exact"/>
        <w:ind w:firstLineChars="200" w:firstLine="600"/>
        <w:rPr>
          <w:rFonts w:ascii="仿宋_GB2312" w:eastAsia="仿宋_GB2312" w:hAnsi="黑体"/>
          <w:spacing w:val="4"/>
          <w:sz w:val="30"/>
          <w:szCs w:val="30"/>
        </w:rPr>
      </w:pPr>
      <w:r>
        <w:rPr>
          <w:rFonts w:ascii="仿宋_GB2312" w:eastAsia="仿宋_GB2312" w:hAnsi="黑体" w:hint="eastAsia"/>
          <w:sz w:val="30"/>
          <w:szCs w:val="30"/>
        </w:rPr>
        <w:t>学校对2017届1,586名本科毕业生做了学习经历及满意度调查，数据显示，毕业生对专业、课程、教学、自身发展、学校各项工作等总体满意度较高。75.60%学生对所学专业总体满意。77.11%学生对所在学院课程总体满意。82.53%学生对学校教学总体满意。学生对于学校其他各项工作总体满意度较高，95.40%学生对校园环境满意，86.63%学生对领导重视教学满意，88.65%学生对“奖助评贷”满意，87.58%学生对校园文化活动满意，86.76%学生对就业服务满意</w:t>
      </w:r>
      <w:r>
        <w:rPr>
          <w:rFonts w:ascii="仿宋_GB2312" w:eastAsia="仿宋_GB2312" w:hAnsi="黑体" w:hint="eastAsia"/>
          <w:spacing w:val="4"/>
          <w:sz w:val="30"/>
          <w:szCs w:val="30"/>
        </w:rPr>
        <w:t>，85.69%学生对身心健康服务满意，86.95%学生对后勤服务满意，86.32%学生对思想品德教育满意，86.13%学生对通识教育满意。</w:t>
      </w:r>
    </w:p>
    <w:p w:rsidR="006459DE" w:rsidRDefault="00242A2A">
      <w:pPr>
        <w:spacing w:line="560" w:lineRule="exact"/>
        <w:ind w:firstLineChars="200" w:firstLine="600"/>
        <w:rPr>
          <w:rFonts w:ascii="仿宋_GB2312" w:eastAsia="仿宋_GB2312" w:hAnsi="黑体"/>
          <w:sz w:val="30"/>
          <w:szCs w:val="30"/>
        </w:rPr>
      </w:pPr>
      <w:r>
        <w:rPr>
          <w:rFonts w:ascii="仿宋_GB2312" w:eastAsia="仿宋_GB2312" w:hAnsi="黑体"/>
          <w:noProof/>
          <w:sz w:val="30"/>
          <w:szCs w:val="30"/>
        </w:rPr>
        <w:drawing>
          <wp:anchor distT="0" distB="0" distL="114300" distR="114300" simplePos="0" relativeHeight="251661312" behindDoc="0" locked="0" layoutInCell="1" allowOverlap="1" wp14:anchorId="17845406" wp14:editId="4A981CAE">
            <wp:simplePos x="0" y="0"/>
            <wp:positionH relativeFrom="column">
              <wp:posOffset>-3175</wp:posOffset>
            </wp:positionH>
            <wp:positionV relativeFrom="paragraph">
              <wp:posOffset>288290</wp:posOffset>
            </wp:positionV>
            <wp:extent cx="5491480" cy="3057525"/>
            <wp:effectExtent l="19050" t="0" r="14287" b="0"/>
            <wp:wrapNone/>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Pr>
        <w:spacing w:line="560" w:lineRule="exact"/>
        <w:ind w:firstLineChars="200" w:firstLine="600"/>
        <w:rPr>
          <w:rFonts w:ascii="仿宋_GB2312" w:eastAsia="仿宋_GB2312" w:hAnsi="黑体"/>
          <w:sz w:val="30"/>
          <w:szCs w:val="30"/>
        </w:rPr>
      </w:pPr>
    </w:p>
    <w:p w:rsidR="006459DE" w:rsidRDefault="006459DE"/>
    <w:p w:rsidR="006459DE" w:rsidRDefault="00242A2A">
      <w:pPr>
        <w:pStyle w:val="3"/>
        <w:spacing w:before="62" w:after="62"/>
      </w:pPr>
      <w:r>
        <w:t>图</w:t>
      </w:r>
      <w:r>
        <w:rPr>
          <w:rFonts w:hint="eastAsia"/>
        </w:rPr>
        <w:t xml:space="preserve">5-3  </w:t>
      </w:r>
      <w:r>
        <w:t>2017届本科毕业生</w:t>
      </w:r>
      <w:r>
        <w:rPr>
          <w:rFonts w:hint="eastAsia"/>
        </w:rPr>
        <w:t>学习经历满意率</w:t>
      </w:r>
    </w:p>
    <w:p w:rsidR="006459DE" w:rsidRDefault="006459DE">
      <w:pPr>
        <w:spacing w:line="560" w:lineRule="exact"/>
        <w:ind w:firstLineChars="200" w:firstLine="600"/>
        <w:rPr>
          <w:rFonts w:ascii="仿宋_GB2312" w:eastAsia="仿宋_GB2312" w:hAnsi="黑体"/>
          <w:sz w:val="30"/>
          <w:szCs w:val="30"/>
        </w:rPr>
        <w:sectPr w:rsidR="006459DE">
          <w:pgSz w:w="11906" w:h="16838"/>
          <w:pgMar w:top="1701" w:right="1531" w:bottom="1418" w:left="1588" w:header="851" w:footer="992" w:gutter="0"/>
          <w:cols w:space="425"/>
          <w:docGrid w:type="lines" w:linePitch="312"/>
        </w:sectPr>
      </w:pPr>
    </w:p>
    <w:p w:rsidR="006459DE" w:rsidRPr="00242A2A" w:rsidRDefault="00242A2A" w:rsidP="00242A2A">
      <w:pPr>
        <w:pStyle w:val="1"/>
        <w:spacing w:before="156" w:after="156"/>
      </w:pPr>
      <w:bookmarkStart w:id="27" w:name="_Toc502497586"/>
      <w:r w:rsidRPr="00242A2A">
        <w:rPr>
          <w:rFonts w:hint="eastAsia"/>
        </w:rPr>
        <w:t>第六部分</w:t>
      </w:r>
      <w:r w:rsidRPr="00242A2A">
        <w:rPr>
          <w:rFonts w:hint="eastAsia"/>
        </w:rPr>
        <w:t xml:space="preserve"> </w:t>
      </w:r>
      <w:r w:rsidR="00785047">
        <w:rPr>
          <w:rFonts w:hint="eastAsia"/>
        </w:rPr>
        <w:t xml:space="preserve"> </w:t>
      </w:r>
      <w:r w:rsidRPr="00242A2A">
        <w:rPr>
          <w:rFonts w:hint="eastAsia"/>
        </w:rPr>
        <w:t>教育教学特色</w:t>
      </w:r>
      <w:bookmarkEnd w:id="27"/>
    </w:p>
    <w:p w:rsidR="006459DE" w:rsidRPr="00242A2A" w:rsidRDefault="00242A2A" w:rsidP="00242A2A">
      <w:pPr>
        <w:spacing w:line="560" w:lineRule="exact"/>
        <w:ind w:firstLineChars="200" w:firstLine="600"/>
        <w:rPr>
          <w:rFonts w:ascii="仿宋_GB2312" w:eastAsia="仿宋_GB2312" w:hAnsi="黑体"/>
          <w:sz w:val="30"/>
          <w:szCs w:val="30"/>
        </w:rPr>
      </w:pPr>
      <w:r w:rsidRPr="00242A2A">
        <w:rPr>
          <w:rFonts w:ascii="仿宋_GB2312" w:eastAsia="仿宋_GB2312" w:hAnsi="黑体" w:hint="eastAsia"/>
          <w:sz w:val="30"/>
          <w:szCs w:val="30"/>
        </w:rPr>
        <w:t>特色办学是内涵式发展的题中之义，特色发展是提升质量的必然结果。2016-2017学年，学校在思政教育、实践育人、学风建设等方面特色鲜明，成效显著。</w:t>
      </w:r>
    </w:p>
    <w:p w:rsidR="006459DE" w:rsidRPr="00785047" w:rsidRDefault="00242A2A" w:rsidP="00785047">
      <w:pPr>
        <w:pStyle w:val="2"/>
        <w:spacing w:before="62" w:after="62"/>
      </w:pPr>
      <w:bookmarkStart w:id="28" w:name="_Toc502497587"/>
      <w:r w:rsidRPr="00785047">
        <w:rPr>
          <w:rFonts w:hint="eastAsia"/>
        </w:rPr>
        <w:t>一、</w:t>
      </w:r>
      <w:r w:rsidRPr="00242A2A">
        <w:rPr>
          <w:rFonts w:hint="eastAsia"/>
        </w:rPr>
        <w:t>强化思想政治教育，推进</w:t>
      </w:r>
      <w:r w:rsidR="006E1FCB">
        <w:rPr>
          <w:rFonts w:hint="eastAsia"/>
        </w:rPr>
        <w:t>全员全过程</w:t>
      </w:r>
      <w:r w:rsidRPr="00242A2A">
        <w:rPr>
          <w:rFonts w:hint="eastAsia"/>
        </w:rPr>
        <w:t>全方位育人</w:t>
      </w:r>
      <w:bookmarkEnd w:id="28"/>
    </w:p>
    <w:p w:rsidR="006459DE" w:rsidRPr="00242A2A" w:rsidRDefault="00242A2A" w:rsidP="00242A2A">
      <w:pPr>
        <w:spacing w:line="560" w:lineRule="exact"/>
        <w:ind w:firstLineChars="200" w:firstLine="600"/>
        <w:rPr>
          <w:rFonts w:ascii="仿宋_GB2312" w:eastAsia="仿宋_GB2312" w:hAnsi="黑体"/>
          <w:sz w:val="30"/>
          <w:szCs w:val="30"/>
        </w:rPr>
      </w:pPr>
      <w:r w:rsidRPr="00242A2A">
        <w:rPr>
          <w:rFonts w:ascii="仿宋_GB2312" w:eastAsia="仿宋_GB2312" w:hAnsi="黑体" w:hint="eastAsia"/>
          <w:sz w:val="30"/>
          <w:szCs w:val="30"/>
        </w:rPr>
        <w:t>学校认真贯彻落实全国高校思想政治工作会议精神，制定《全面贯彻落实全国高校思想政治工作会议精神实施方案》，围绕立德树人根本任务，把思想政治工作贯穿教育教学全过程，推进</w:t>
      </w:r>
      <w:r w:rsidR="006E1FCB">
        <w:rPr>
          <w:rFonts w:ascii="仿宋_GB2312" w:eastAsia="仿宋_GB2312" w:hAnsi="黑体" w:hint="eastAsia"/>
          <w:sz w:val="30"/>
          <w:szCs w:val="30"/>
        </w:rPr>
        <w:t>“三全”育人</w:t>
      </w:r>
      <w:r w:rsidRPr="00242A2A">
        <w:rPr>
          <w:rFonts w:ascii="仿宋_GB2312" w:eastAsia="仿宋_GB2312" w:hAnsi="黑体" w:hint="eastAsia"/>
          <w:sz w:val="30"/>
          <w:szCs w:val="30"/>
        </w:rPr>
        <w:t>。</w:t>
      </w:r>
    </w:p>
    <w:p w:rsidR="006459DE" w:rsidRPr="00242A2A" w:rsidRDefault="00242A2A" w:rsidP="006F588A">
      <w:pPr>
        <w:spacing w:line="560" w:lineRule="exact"/>
        <w:ind w:firstLineChars="200" w:firstLine="601"/>
        <w:rPr>
          <w:rFonts w:ascii="仿宋_GB2312" w:eastAsia="仿宋_GB2312" w:hAnsi="黑体"/>
          <w:b/>
          <w:bCs/>
          <w:sz w:val="30"/>
          <w:szCs w:val="30"/>
        </w:rPr>
      </w:pPr>
      <w:r w:rsidRPr="00242A2A">
        <w:rPr>
          <w:rFonts w:ascii="仿宋_GB2312" w:eastAsia="仿宋_GB2312" w:hAnsi="黑体" w:hint="eastAsia"/>
          <w:b/>
          <w:bCs/>
          <w:sz w:val="30"/>
          <w:szCs w:val="30"/>
        </w:rPr>
        <w:t>1.强化教师思想政治教育</w:t>
      </w:r>
    </w:p>
    <w:p w:rsidR="006459DE"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（1）统筹教师思想政治工作，强化责任落实。</w:t>
      </w:r>
      <w:r w:rsidRPr="00242A2A">
        <w:rPr>
          <w:rFonts w:ascii="仿宋_GB2312" w:eastAsia="仿宋_GB2312" w:hAnsi="黑体" w:hint="eastAsia"/>
          <w:sz w:val="30"/>
          <w:szCs w:val="30"/>
        </w:rPr>
        <w:t>设立党委教师工作部，统筹教师思想政治工作，形成党委统一领导，职能部门重点抓、基层党委具体抓的责任链条。出台《关于进一步加强和改进教职工思想政治工作的实施意见》《关于建立健全党建工作责任体系的实施意见》，落实抓教师思想政治工作的具体责任，构建齐抓共管、协调运转的责任体系。学校成立马克思主义学院建设领导小组，进一步加强对马克思主义学院的统筹建设和指导。修订《加强马克思主义学院建设实施意见》，制定《马克思主义学院师资队伍建设专项计划》，着力加强马克思主义学院师资队伍建设</w:t>
      </w:r>
      <w:r>
        <w:rPr>
          <w:rFonts w:ascii="仿宋_GB2312" w:eastAsia="仿宋_GB2312" w:hAnsi="黑体" w:hint="eastAsia"/>
          <w:sz w:val="30"/>
          <w:szCs w:val="30"/>
        </w:rPr>
        <w:t>。</w:t>
      </w:r>
    </w:p>
    <w:p w:rsidR="006459DE" w:rsidRPr="00242A2A" w:rsidRDefault="00242A2A" w:rsidP="006F588A">
      <w:pPr>
        <w:spacing w:line="560" w:lineRule="exact"/>
        <w:ind w:firstLineChars="200" w:firstLine="601"/>
        <w:rPr>
          <w:rFonts w:ascii="仿宋_GB2312" w:eastAsia="仿宋_GB2312" w:hAnsi="黑体"/>
          <w:sz w:val="30"/>
          <w:szCs w:val="30"/>
        </w:rPr>
      </w:pPr>
      <w:r>
        <w:rPr>
          <w:rFonts w:ascii="仿宋_GB2312" w:eastAsia="仿宋_GB2312" w:hAnsi="黑体" w:hint="eastAsia"/>
          <w:b/>
          <w:sz w:val="30"/>
          <w:szCs w:val="30"/>
        </w:rPr>
        <w:t>（2）</w:t>
      </w:r>
      <w:r w:rsidRPr="00242A2A">
        <w:rPr>
          <w:rFonts w:ascii="仿宋_GB2312" w:eastAsia="仿宋_GB2312" w:hAnsi="黑体" w:hint="eastAsia"/>
          <w:b/>
          <w:sz w:val="30"/>
          <w:szCs w:val="30"/>
        </w:rPr>
        <w:t>丰富思政教育形式，提高思政教育成效。</w:t>
      </w:r>
      <w:r w:rsidRPr="00242A2A">
        <w:rPr>
          <w:rFonts w:ascii="仿宋_GB2312" w:eastAsia="仿宋_GB2312" w:hAnsi="黑体" w:hint="eastAsia"/>
          <w:sz w:val="30"/>
          <w:szCs w:val="30"/>
        </w:rPr>
        <w:t>推进“两学一做”学习教育常态化制度化，校领导带头深入联系支部指导支部开展活动。坚持每周三下午集体学习，实现学习教育全覆盖。组织教师赴延安、井冈山、照金等地开展革命传统教育，把理论学习和实地考察结合起来，把个人自学和专题讲座、集中研讨结合起来。出版《西农解放记忆》《红烛光影》等刊物，开展黄大年先进事迹学习宣传活动，养成教师潜心教书、追求卓越、兴农报国的情怀。在校园网开设“一周一师”专栏，聚焦教学一线老师，增强教师执教从业荣誉感和使命感。积极探索以赛促学，组织开展党员应知应会知识测试，检验学习成效。</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（3）健全思政教育考核评价体系。</w:t>
      </w:r>
      <w:r w:rsidRPr="00242A2A">
        <w:rPr>
          <w:rFonts w:ascii="仿宋_GB2312" w:eastAsia="仿宋_GB2312" w:hint="eastAsia"/>
          <w:color w:val="000000"/>
          <w:sz w:val="30"/>
          <w:szCs w:val="30"/>
        </w:rPr>
        <w:t>着力改善思想政治理论课教师队伍专业技术职务结构，按照专业技术职务高级岗位不低于学校重点学科平均水平的比例，设置思想政治理论课专业技术职务高级岗位。2017年马克思主义学院晋升正高级职务2人、副高级职务3人，引进具有副高级职务教师1人，初步改善了教师队伍结构。</w:t>
      </w:r>
      <w:r w:rsidRPr="00242A2A">
        <w:rPr>
          <w:rFonts w:ascii="仿宋_GB2312" w:eastAsia="仿宋_GB2312" w:hAnsi="黑体" w:hint="eastAsia"/>
          <w:sz w:val="30"/>
          <w:szCs w:val="30"/>
        </w:rPr>
        <w:t>健全评价体系，把政治立场、政治态度、理想信念和思想品德等内容作为绩效评价、评优奖励和人才推荐的首要条件，把教职工理论学习情况作为政治审查、各项鉴定意见的重要内容。推进基层党建工作量化考核，同时把做好教师思想政治工作纳入意识形态工作责任制。</w:t>
      </w:r>
    </w:p>
    <w:p w:rsidR="006459DE" w:rsidRPr="00242A2A" w:rsidRDefault="00242A2A" w:rsidP="006F588A">
      <w:pPr>
        <w:spacing w:line="560" w:lineRule="exact"/>
        <w:ind w:firstLineChars="200" w:firstLine="601"/>
        <w:rPr>
          <w:rFonts w:ascii="仿宋_GB2312" w:eastAsia="仿宋_GB2312" w:hAnsi="黑体"/>
          <w:b/>
          <w:bCs/>
          <w:sz w:val="30"/>
          <w:szCs w:val="30"/>
        </w:rPr>
      </w:pPr>
      <w:r w:rsidRPr="00242A2A">
        <w:rPr>
          <w:rFonts w:ascii="仿宋_GB2312" w:eastAsia="仿宋_GB2312" w:hAnsi="黑体" w:hint="eastAsia"/>
          <w:b/>
          <w:bCs/>
          <w:sz w:val="30"/>
          <w:szCs w:val="30"/>
        </w:rPr>
        <w:t>2.加强学生思想政治教育</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（1）充分发挥思政课主渠道作用。</w:t>
      </w:r>
      <w:r w:rsidRPr="00242A2A">
        <w:rPr>
          <w:rFonts w:ascii="仿宋_GB2312" w:eastAsia="仿宋_GB2312" w:hAnsi="黑体" w:hint="eastAsia"/>
          <w:sz w:val="30"/>
          <w:szCs w:val="30"/>
        </w:rPr>
        <w:t>学校实施思想政治理论课程教学质量年活动，出台《思想政治理论课教学方式方法改革实施方案》，着力解决思想政治教育入耳、入脑、入心的问题。以提升思想政治理论课教学质量为核心，举办“高校思政课教学质量提升研讨暨备课会”，组织校内外专家开展4天集中学习、研讨、交流，提高整体备课水平。以提升思想政治理论课教案水平为目标，配合陕西省高教工委，开展我校思想政治理论课教案评选活动，评选优秀教案21份，发挥优秀教案示范作用。探索混合式教学模式，在21个专业96个班级，2,000多名学生中进行翻转课堂教学，创新教学方式方法。强化思想政治专题教学，将鲜活事迹融入教学内容中，以“故事”感人，以“理论”服人，讲好“中国故事”，讲好“西农故事”，提高思想政治理论课亲和力、针对性和有效性。推进多元化考核，从单一考核到综合考核，从结果考核到过程考核，从学习结果评价到自主学习和生成学习，考核方式更加科学合理。2017年1月，中国教育部专题对我校《马克思主义基本原理概论》课程“无纸化考核”进行报道。形成“主题返乡式”社会实践教学模式，通过社会调查和汇报交流，深化知识理解。“主题返乡式”社会实践教学模式获批2016年教育部高校示范性马克思主义学院优秀科研团队建设项目。</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（2）发挥第二课堂思政教育功能。</w:t>
      </w:r>
      <w:r w:rsidRPr="00242A2A">
        <w:rPr>
          <w:rFonts w:ascii="仿宋_GB2312" w:eastAsia="仿宋_GB2312" w:hAnsi="黑体" w:hint="eastAsia"/>
          <w:sz w:val="30"/>
          <w:szCs w:val="30"/>
        </w:rPr>
        <w:t>学校以社会主义核心价值观为引领，充分利用内容丰富、形式多样第二课堂，开展、推进、强化思想政治教育，提高大学生思想政治素质，促进学生成长成才。修订《学生综合素质测评实施意见》《学生专业奖学金评定办法》和《先进班集体、三好学生、优秀学生干部及单项奖评选条件及奖励办法》，加重思想政治考量和道德教育引导，强化思想政治教育。学校以青马工程</w:t>
      </w:r>
      <w:r w:rsidR="006E1FCB">
        <w:rPr>
          <w:rFonts w:ascii="仿宋_GB2312" w:eastAsia="仿宋_GB2312" w:hAnsi="黑体" w:hint="eastAsia"/>
          <w:sz w:val="30"/>
          <w:szCs w:val="30"/>
        </w:rPr>
        <w:t>、</w:t>
      </w:r>
      <w:r w:rsidRPr="00242A2A">
        <w:rPr>
          <w:rFonts w:ascii="仿宋_GB2312" w:eastAsia="仿宋_GB2312" w:hAnsi="黑体" w:hint="eastAsia"/>
          <w:sz w:val="30"/>
          <w:szCs w:val="30"/>
        </w:rPr>
        <w:t>团校</w:t>
      </w:r>
      <w:r w:rsidR="006E1FCB">
        <w:rPr>
          <w:rFonts w:ascii="仿宋_GB2312" w:eastAsia="仿宋_GB2312" w:hAnsi="黑体" w:hint="eastAsia"/>
          <w:sz w:val="30"/>
          <w:szCs w:val="30"/>
        </w:rPr>
        <w:t>、</w:t>
      </w:r>
      <w:r w:rsidRPr="00242A2A">
        <w:rPr>
          <w:rFonts w:ascii="仿宋_GB2312" w:eastAsia="仿宋_GB2312" w:hAnsi="黑体" w:hint="eastAsia"/>
          <w:sz w:val="30"/>
          <w:szCs w:val="30"/>
        </w:rPr>
        <w:t>团组织生活三级架构为基础，以学习贯彻习近平总书记系列重要讲话精神和治国理政新理念新思想新战略为统领，以中国特色社会主义和中国梦宣传教育为主题，以培育和践行社会主义核心价值观为主线，开展思想政治教育，覆盖全体青年。学校举办形式多样的思想政治教育活动。以“青春喜迎十九大</w:t>
      </w:r>
      <w:r w:rsidRPr="00242A2A">
        <w:rPr>
          <w:rFonts w:ascii="MS Mincho" w:eastAsia="MS Mincho" w:hAnsi="MS Mincho" w:cs="MS Mincho" w:hint="eastAsia"/>
          <w:sz w:val="30"/>
          <w:szCs w:val="30"/>
        </w:rPr>
        <w:t>∙</w:t>
      </w:r>
      <w:r w:rsidRPr="00242A2A">
        <w:rPr>
          <w:rFonts w:ascii="仿宋_GB2312" w:eastAsia="仿宋_GB2312" w:hAnsi="黑体" w:hint="eastAsia"/>
          <w:sz w:val="30"/>
          <w:szCs w:val="30"/>
        </w:rPr>
        <w:t>不忘初心跟党走”为主题开展多种形式的主题教育活动，利用清明、“五四”、“九一八”等特殊节点，组织学生到扶眉烈士陵园、革命老区延安、红色照金、井冈山等地开展理想信念教育。充分发挥新媒体的思想引导作用，通过易班、微博、微信，便捷、生动、有效的开展思想政治教育，旗帜鲜明地开展网络舆论斗争。</w:t>
      </w:r>
    </w:p>
    <w:p w:rsidR="006459DE" w:rsidRPr="00242A2A" w:rsidRDefault="00242A2A" w:rsidP="00785047">
      <w:pPr>
        <w:pStyle w:val="2"/>
        <w:spacing w:before="62" w:after="62"/>
      </w:pPr>
      <w:bookmarkStart w:id="29" w:name="_Toc502497588"/>
      <w:r w:rsidRPr="00785047">
        <w:rPr>
          <w:rFonts w:hint="eastAsia"/>
        </w:rPr>
        <w:t>二、</w:t>
      </w:r>
      <w:r w:rsidRPr="00242A2A">
        <w:rPr>
          <w:rFonts w:hint="eastAsia"/>
        </w:rPr>
        <w:t>发挥农林学科优势，突出实践育人</w:t>
      </w:r>
      <w:bookmarkEnd w:id="29"/>
    </w:p>
    <w:p w:rsidR="006459DE" w:rsidRPr="00242A2A" w:rsidRDefault="00242A2A" w:rsidP="00242A2A">
      <w:pPr>
        <w:spacing w:line="560" w:lineRule="exact"/>
        <w:ind w:firstLineChars="200" w:firstLine="600"/>
        <w:rPr>
          <w:rFonts w:ascii="仿宋_GB2312" w:eastAsia="仿宋_GB2312" w:hAnsi="黑体"/>
          <w:sz w:val="30"/>
          <w:szCs w:val="30"/>
        </w:rPr>
      </w:pPr>
      <w:r w:rsidRPr="00242A2A">
        <w:rPr>
          <w:rFonts w:ascii="仿宋_GB2312" w:eastAsia="仿宋_GB2312" w:hAnsi="黑体" w:hint="eastAsia"/>
          <w:sz w:val="30"/>
          <w:szCs w:val="30"/>
        </w:rPr>
        <w:t>学校坚持以“受教育、长才干、做贡献”为宗旨，突出农林学科优势，以项目带动和品牌建设为牵引，创新实践育人形式，取得了良好的社会效益和显著的育人效果。</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1.弘扬主旋律，保证正确的工作方向。</w:t>
      </w:r>
      <w:r w:rsidRPr="00242A2A">
        <w:rPr>
          <w:rFonts w:ascii="仿宋_GB2312" w:eastAsia="仿宋_GB2312" w:hAnsi="黑体" w:hint="eastAsia"/>
          <w:sz w:val="30"/>
          <w:szCs w:val="30"/>
        </w:rPr>
        <w:t>开展理想信念教育实践活动，组织大学生到井冈山、延安、照金、梁家河接受爱国主义和革命传统教育。坚持以培育和践行社会主义核心价值观为导向，开展了“与信仰对话”“我为核心价值观代言”等主题实践活动。坚持弘扬时代主题。发起“新丝路经济带寻访”“城市学子到农村 农村学子进城市”“聚青春力量 助脱贫攻坚”等调研考察、服务体验活动，引导学生了解国情民情社情，培养大学生社会责任和使命担当。坚持创新人才培养机制，结合“第二课堂成绩单”的实施，选聘40名思政课教师担任指导老师，侧重大学生正确“三观”的养成。</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2.依托学科优势，注重工作实效。</w:t>
      </w:r>
      <w:r w:rsidRPr="00242A2A">
        <w:rPr>
          <w:rFonts w:ascii="仿宋_GB2312" w:eastAsia="仿宋_GB2312" w:hAnsi="黑体" w:hint="eastAsia"/>
          <w:sz w:val="30"/>
          <w:szCs w:val="30"/>
        </w:rPr>
        <w:t>充分发挥学校农科教、产学研紧密结合的特色和优势，围绕国家农业现代化、“一带一路”和脱贫攻坚，及时做出顶层设计。比如，连续四年启动了“千村万户”脱贫攻坚大调研活动，组织2000余名师生深入全国23个省（市）800个乡镇，对8000多农户进行专题调研，所撰写的调研报告得到国务院扶贫办高度认可。将社会实践与创新创业、校园文化建设等工作相结合，构建“三下乡”社会实践成果共享机制，近年来公开发表调研论文近百篇，孵化出学术科技作品和创业项目20余项。</w:t>
      </w:r>
    </w:p>
    <w:p w:rsidR="00242A2A"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3.整合校内外资源，夯实工作基础。</w:t>
      </w:r>
      <w:r w:rsidRPr="00242A2A">
        <w:rPr>
          <w:rFonts w:ascii="仿宋_GB2312" w:eastAsia="仿宋_GB2312" w:hAnsi="黑体" w:hint="eastAsia"/>
          <w:sz w:val="30"/>
          <w:szCs w:val="30"/>
        </w:rPr>
        <w:t>强化校内协同。在校党委的统一部署下，由校团委牵头，宣传部、教务处、学工部、研工部和各学院在项目设计、活动组织、经费保障等方面密切配合，形成“大实践”育人格局。加强校际协同。从2016年暑期起，与全国43所农业高校的农学院联合开展了“稼穑之路—农科学子助力精准扶贫”主题社会实践。推进校企协同。与正大集团、新希望集团、张裕葡萄酒公司等知名企业签约共建社会实践基地，每年暑期选派800余名学生进行顶岗实践，就业见习。促进校地协同。以“资源共享、平台共搭、机制共建、责任共担”为原则，与地方政府搭建“校地协同合作”模式，积极打造“田园使者”“志愿者进社区”“青春驿站”“农村幸福院”等实践育人共同体品牌。</w:t>
      </w:r>
    </w:p>
    <w:p w:rsidR="006459DE" w:rsidRPr="00242A2A" w:rsidRDefault="00242A2A" w:rsidP="00785047">
      <w:pPr>
        <w:pStyle w:val="2"/>
        <w:spacing w:before="62" w:after="62"/>
        <w:rPr>
          <w:rFonts w:ascii="仿宋_GB2312" w:eastAsia="仿宋_GB2312"/>
        </w:rPr>
      </w:pPr>
      <w:bookmarkStart w:id="30" w:name="_Toc502497589"/>
      <w:r w:rsidRPr="00242A2A">
        <w:rPr>
          <w:rFonts w:hint="eastAsia"/>
        </w:rPr>
        <w:t>三、实施学风建设主题年活动，加强学风建设</w:t>
      </w:r>
      <w:bookmarkEnd w:id="30"/>
    </w:p>
    <w:p w:rsidR="006459DE" w:rsidRPr="00242A2A" w:rsidRDefault="00242A2A" w:rsidP="00242A2A">
      <w:pPr>
        <w:spacing w:line="560" w:lineRule="exact"/>
        <w:ind w:firstLineChars="200" w:firstLine="600"/>
        <w:rPr>
          <w:rFonts w:ascii="仿宋_GB2312" w:eastAsia="仿宋_GB2312" w:hAnsi="黑体"/>
          <w:sz w:val="30"/>
          <w:szCs w:val="30"/>
        </w:rPr>
      </w:pPr>
      <w:r w:rsidRPr="00242A2A">
        <w:rPr>
          <w:rFonts w:ascii="仿宋_GB2312" w:eastAsia="仿宋_GB2312" w:hAnsi="黑体" w:hint="eastAsia"/>
          <w:sz w:val="30"/>
          <w:szCs w:val="30"/>
        </w:rPr>
        <w:t>学校将学风建设确定2017年的主题年活动。出台了《“学风建设年”实施意见》《关于进一步加强大学生学风建设的实施意见》，通过加强学生教育教学管理、营造良好育人氛围等举措，优化改进学生学风和教师教风，切实提高人才培养质量。</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1.强化学生教育管理，促进习惯养成。</w:t>
      </w:r>
      <w:r w:rsidRPr="00242A2A">
        <w:rPr>
          <w:rFonts w:ascii="仿宋_GB2312" w:eastAsia="仿宋_GB2312" w:hAnsi="黑体" w:hint="eastAsia"/>
          <w:sz w:val="30"/>
          <w:szCs w:val="30"/>
        </w:rPr>
        <w:t>针对当前学生中“学习动力不足、学习纪律意识松懈、学习动机功利化”等问题，策划开展了“学习纪律强化月”、“学风建设主题月”活动，从牢筑专业思想、严格纪律管理、深化学业指导与帮扶、选树先进典型等方面入手，着力学习内动力的激发和良好学习习惯的养成。此外，学校还紧抓新生入学教育、早读晚自习制度、学业生涯规划指导工作、优良学风示范班建设、荣誉校园计划等工作，以文化育学风、以纪律正学风、以帮扶助学风、以典型引学风，为学生的成长成才保驾护航。</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2.开展学风建设活动，保障学风建设。</w:t>
      </w:r>
      <w:r w:rsidRPr="00242A2A">
        <w:rPr>
          <w:rFonts w:ascii="仿宋_GB2312" w:eastAsia="仿宋_GB2312" w:hAnsi="黑体" w:hint="eastAsia"/>
          <w:sz w:val="30"/>
          <w:szCs w:val="30"/>
        </w:rPr>
        <w:t>学院积极开展学风建设活动，机电学院把学风建设作为学院发展的重点，不断开拓创新，提出了构建“以身致学、以导督学、以教促学、以境育学”的四位一体学风建设新模式。食品学院先后出台《食品学院晚自习管理条例》《食品学院大学生学业发展中心规划方案》《食品学院学风建设工作实施方案》，建立了“组织机制、实效机制、激励机制、教育机制”等四个方面的机制，推动学风建设工作。各学院根据学院实际、学科专业特点，有针对开展学风建设活动，成效显著。</w:t>
      </w:r>
    </w:p>
    <w:p w:rsidR="006459DE" w:rsidRPr="00242A2A" w:rsidRDefault="00242A2A" w:rsidP="006F588A">
      <w:pPr>
        <w:spacing w:line="560" w:lineRule="exact"/>
        <w:ind w:firstLineChars="200" w:firstLine="601"/>
        <w:rPr>
          <w:rFonts w:ascii="仿宋_GB2312" w:eastAsia="仿宋_GB2312" w:hAnsi="黑体"/>
          <w:sz w:val="30"/>
          <w:szCs w:val="30"/>
        </w:rPr>
      </w:pPr>
      <w:r w:rsidRPr="00242A2A">
        <w:rPr>
          <w:rFonts w:ascii="仿宋_GB2312" w:eastAsia="仿宋_GB2312" w:hAnsi="黑体" w:hint="eastAsia"/>
          <w:b/>
          <w:sz w:val="30"/>
          <w:szCs w:val="30"/>
        </w:rPr>
        <w:t>3.以教风促学风，营造良好育人氛围。</w:t>
      </w:r>
      <w:r w:rsidRPr="00242A2A">
        <w:rPr>
          <w:rFonts w:ascii="仿宋_GB2312" w:eastAsia="仿宋_GB2312" w:hAnsi="黑体" w:hint="eastAsia"/>
          <w:sz w:val="30"/>
          <w:szCs w:val="30"/>
        </w:rPr>
        <w:t>学校注重校园文化建设，积极营造教师潜心教学、学生勤奋乐学的良好育人氛围。注重师德建设，举办师德师风演讲比赛，开展“我最喜爱的老师”评选</w:t>
      </w:r>
      <w:r w:rsidR="006E1FCB">
        <w:rPr>
          <w:rFonts w:ascii="仿宋_GB2312" w:eastAsia="仿宋_GB2312" w:hAnsi="黑体" w:hint="eastAsia"/>
          <w:sz w:val="30"/>
          <w:szCs w:val="30"/>
        </w:rPr>
        <w:t>活动</w:t>
      </w:r>
      <w:r w:rsidRPr="00242A2A">
        <w:rPr>
          <w:rFonts w:ascii="仿宋_GB2312" w:eastAsia="仿宋_GB2312" w:hAnsi="黑体" w:hint="eastAsia"/>
          <w:sz w:val="30"/>
          <w:szCs w:val="30"/>
        </w:rPr>
        <w:t>，激发教师专注教学，投入教学。通过系列活动，教师更能潜心教学、热爱教学，教风更加优化，带动了学风优化。牢固树立学生为中心的理念，构建崇尚教学、注重质量的教学文化环境，完善教学设计与教案、教学研究制度，提高教师的教学水平。</w:t>
      </w:r>
    </w:p>
    <w:p w:rsidR="006459DE" w:rsidRDefault="006459DE">
      <w:pPr>
        <w:jc w:val="center"/>
        <w:rPr>
          <w:rFonts w:ascii="黑体" w:eastAsia="黑体" w:hAnsi="黑体"/>
          <w:sz w:val="32"/>
          <w:szCs w:val="32"/>
        </w:rPr>
      </w:pPr>
    </w:p>
    <w:p w:rsidR="006459DE" w:rsidRDefault="006459DE">
      <w:pPr>
        <w:jc w:val="center"/>
        <w:rPr>
          <w:rFonts w:ascii="黑体" w:eastAsia="黑体" w:hAnsi="黑体"/>
          <w:sz w:val="32"/>
          <w:szCs w:val="32"/>
        </w:rPr>
      </w:pPr>
    </w:p>
    <w:p w:rsidR="00785047" w:rsidRDefault="00785047">
      <w:pPr>
        <w:jc w:val="center"/>
        <w:rPr>
          <w:rFonts w:ascii="黑体" w:eastAsia="黑体" w:hAnsi="黑体"/>
          <w:sz w:val="32"/>
          <w:szCs w:val="32"/>
        </w:rPr>
        <w:sectPr w:rsidR="00785047">
          <w:pgSz w:w="11906" w:h="16838"/>
          <w:pgMar w:top="1701" w:right="1531" w:bottom="1418" w:left="1588" w:header="851" w:footer="992" w:gutter="0"/>
          <w:cols w:space="425"/>
          <w:docGrid w:type="lines" w:linePitch="312"/>
        </w:sectPr>
      </w:pPr>
    </w:p>
    <w:p w:rsidR="006459DE" w:rsidRPr="00242A2A" w:rsidRDefault="00242A2A" w:rsidP="00785047">
      <w:pPr>
        <w:pStyle w:val="1"/>
        <w:spacing w:before="156" w:after="156"/>
      </w:pPr>
      <w:bookmarkStart w:id="31" w:name="_Toc502497590"/>
      <w:r w:rsidRPr="00242A2A">
        <w:rPr>
          <w:rFonts w:hint="eastAsia"/>
        </w:rPr>
        <w:t>第七部分</w:t>
      </w:r>
      <w:r w:rsidR="00785047">
        <w:rPr>
          <w:rFonts w:hint="eastAsia"/>
        </w:rPr>
        <w:t xml:space="preserve"> </w:t>
      </w:r>
      <w:r w:rsidRPr="00242A2A">
        <w:rPr>
          <w:rFonts w:hint="eastAsia"/>
        </w:rPr>
        <w:t xml:space="preserve"> </w:t>
      </w:r>
      <w:r w:rsidRPr="00242A2A">
        <w:rPr>
          <w:rFonts w:hint="eastAsia"/>
        </w:rPr>
        <w:t>存在问题及解决措施</w:t>
      </w:r>
      <w:bookmarkEnd w:id="31"/>
    </w:p>
    <w:p w:rsidR="006459DE" w:rsidRPr="00242A2A" w:rsidRDefault="00242A2A" w:rsidP="00242A2A">
      <w:pPr>
        <w:spacing w:line="560" w:lineRule="exact"/>
        <w:ind w:firstLineChars="200" w:firstLine="600"/>
        <w:rPr>
          <w:rFonts w:ascii="仿宋_GB2312" w:eastAsia="仿宋_GB2312" w:hAnsi="黑体"/>
          <w:sz w:val="30"/>
          <w:szCs w:val="30"/>
        </w:rPr>
      </w:pPr>
      <w:r w:rsidRPr="00242A2A">
        <w:rPr>
          <w:rFonts w:ascii="仿宋_GB2312" w:eastAsia="仿宋_GB2312" w:hAnsi="黑体" w:hint="eastAsia"/>
          <w:sz w:val="30"/>
          <w:szCs w:val="30"/>
        </w:rPr>
        <w:t>一年来，学校在教育教学方面取得显著成绩，不断满足学生学习需要，回应社会关注与期望。但在发展过程中，依然存在一些问题和不足，主要表现在：教学质量保障体系的信息反馈和调控机制还需要进一步健全和完善；青年教师的教学能力和教学水平还需要进一步提高；教学投入保障机制，特别是信息化教学设施、教学条件的建设还需要进一步强化。</w:t>
      </w:r>
    </w:p>
    <w:p w:rsidR="006459DE" w:rsidRPr="00242A2A" w:rsidRDefault="00242A2A" w:rsidP="00242A2A">
      <w:pPr>
        <w:spacing w:line="560" w:lineRule="exact"/>
        <w:ind w:firstLineChars="200" w:firstLine="600"/>
        <w:rPr>
          <w:rFonts w:ascii="仿宋_GB2312" w:eastAsia="仿宋_GB2312" w:hAnsi="黑体"/>
          <w:sz w:val="30"/>
          <w:szCs w:val="30"/>
        </w:rPr>
      </w:pPr>
      <w:r w:rsidRPr="00242A2A">
        <w:rPr>
          <w:rFonts w:ascii="仿宋_GB2312" w:eastAsia="仿宋_GB2312" w:hAnsi="黑体" w:hint="eastAsia"/>
          <w:sz w:val="30"/>
          <w:szCs w:val="30"/>
        </w:rPr>
        <w:t>结合“双一流”建设的实施和推进一流本科教育的要求，学校将采取有效措施予以解决：一是进一步</w:t>
      </w:r>
      <w:r w:rsidR="00B84467">
        <w:rPr>
          <w:rFonts w:ascii="仿宋_GB2312" w:eastAsia="仿宋_GB2312" w:hAnsi="黑体" w:hint="eastAsia"/>
          <w:sz w:val="30"/>
          <w:szCs w:val="30"/>
        </w:rPr>
        <w:t>完善教学</w:t>
      </w:r>
      <w:r w:rsidRPr="00242A2A">
        <w:rPr>
          <w:rFonts w:ascii="仿宋_GB2312" w:eastAsia="仿宋_GB2312" w:hAnsi="黑体" w:hint="eastAsia"/>
          <w:sz w:val="30"/>
          <w:szCs w:val="30"/>
        </w:rPr>
        <w:t>质量监控</w:t>
      </w:r>
      <w:r w:rsidR="00B84467">
        <w:rPr>
          <w:rFonts w:ascii="仿宋_GB2312" w:eastAsia="仿宋_GB2312" w:hAnsi="黑体" w:hint="eastAsia"/>
          <w:sz w:val="30"/>
          <w:szCs w:val="30"/>
        </w:rPr>
        <w:t>保障</w:t>
      </w:r>
      <w:r w:rsidRPr="00242A2A">
        <w:rPr>
          <w:rFonts w:ascii="仿宋_GB2312" w:eastAsia="仿宋_GB2312" w:hAnsi="黑体" w:hint="eastAsia"/>
          <w:sz w:val="30"/>
          <w:szCs w:val="30"/>
        </w:rPr>
        <w:t>体系。建立教学信息有效反馈机制，严格执行教学督导、教学例会、奖惩制度。建立向党委常委会、校长办公会定期汇报教学工作制度。根据反馈的信息对教学质量状况进行预警、整改。二是把好青年教师教学入口关，实施新进教师教学能力考核认定，把教学能力作为青年教师聘期考核要求之一。积极发挥校本培训团队作用，制定好计划、设计好课程，做好青年教师教学培训的针对性、时效性。充分发挥青年教师导师的帮扶作用，教学名师的引领作用，帮助青年教师快速提高教学能力。三是认真落实学校《十三五规划》，持续加大教学投入，完善教学投入的长效机制。及时更新和完善信息化教学设施，为信息化教学提供良好硬件条件保障。</w:t>
      </w:r>
    </w:p>
    <w:p w:rsidR="006459DE" w:rsidRPr="00242A2A" w:rsidRDefault="006459DE" w:rsidP="00242A2A">
      <w:pPr>
        <w:spacing w:line="560" w:lineRule="exact"/>
        <w:ind w:firstLineChars="200" w:firstLine="600"/>
        <w:rPr>
          <w:rFonts w:ascii="仿宋_GB2312" w:eastAsia="仿宋_GB2312" w:hAnsi="黑体"/>
          <w:sz w:val="30"/>
          <w:szCs w:val="30"/>
        </w:rPr>
      </w:pPr>
    </w:p>
    <w:sectPr w:rsidR="006459DE" w:rsidRPr="00242A2A">
      <w:pgSz w:w="11906" w:h="16838"/>
      <w:pgMar w:top="1701" w:right="1531" w:bottom="1418"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79C" w:rsidRDefault="00FC679C">
      <w:r>
        <w:separator/>
      </w:r>
    </w:p>
  </w:endnote>
  <w:endnote w:type="continuationSeparator" w:id="0">
    <w:p w:rsidR="00FC679C" w:rsidRDefault="00FC6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subsetted="1" w:fontKey="{1575BF06-612A-4DFE-8583-E7C2D302078F}"/>
  </w:font>
  <w:font w:name="方正大黑简体">
    <w:panose1 w:val="02010601030101010101"/>
    <w:charset w:val="86"/>
    <w:family w:val="auto"/>
    <w:pitch w:val="variable"/>
    <w:sig w:usb0="00000001" w:usb1="080E0000" w:usb2="00000010" w:usb3="00000000" w:csb0="00040000" w:csb1="00000000"/>
    <w:embedRegular r:id="rId2" w:subsetted="1" w:fontKey="{722411BD-FA3A-4BDF-8D86-F44A8844FE47}"/>
  </w:font>
  <w:font w:name="黑体">
    <w:altName w:val="SimHei"/>
    <w:panose1 w:val="02010609060101010101"/>
    <w:charset w:val="86"/>
    <w:family w:val="modern"/>
    <w:pitch w:val="fixed"/>
    <w:sig w:usb0="800002BF" w:usb1="38CF7CFA" w:usb2="00000016" w:usb3="00000000" w:csb0="00040001" w:csb1="00000000"/>
    <w:embedRegular r:id="rId3" w:subsetted="1" w:fontKey="{0CC2227B-AC53-4115-979C-9393A5A27293}"/>
    <w:embedBold r:id="rId4" w:subsetted="1" w:fontKey="{B434CFF8-35F7-497F-9310-C033B07AB84B}"/>
  </w:font>
  <w:font w:name="方正小标宋简体">
    <w:panose1 w:val="03000509000000000000"/>
    <w:charset w:val="86"/>
    <w:family w:val="script"/>
    <w:pitch w:val="fixed"/>
    <w:sig w:usb0="00000001" w:usb1="080E0000" w:usb2="00000010" w:usb3="00000000" w:csb0="00040000" w:csb1="00000000"/>
    <w:embedRegular r:id="rId5" w:subsetted="1" w:fontKey="{4A834F2E-8897-450F-B73A-9E8B4080C15D}"/>
  </w:font>
  <w:font w:name="华文楷体">
    <w:panose1 w:val="02010600040101010101"/>
    <w:charset w:val="86"/>
    <w:family w:val="auto"/>
    <w:pitch w:val="variable"/>
    <w:sig w:usb0="00000287" w:usb1="080F0000" w:usb2="00000010" w:usb3="00000000" w:csb0="0004009F" w:csb1="00000000"/>
    <w:embedRegular r:id="rId6" w:subsetted="1" w:fontKey="{F1E1DBA1-F520-499A-838D-49CBF7E47588}"/>
  </w:font>
  <w:font w:name="仿宋">
    <w:panose1 w:val="02010609060101010101"/>
    <w:charset w:val="86"/>
    <w:family w:val="modern"/>
    <w:pitch w:val="fixed"/>
    <w:sig w:usb0="800002BF" w:usb1="38CF7CFA" w:usb2="00000016" w:usb3="00000000" w:csb0="00040001" w:csb1="00000000"/>
    <w:embedRegular r:id="rId7" w:subsetted="1" w:fontKey="{EAA91AA0-03C2-428D-8FA4-9F77563612A9}"/>
    <w:embedBold r:id="rId8" w:subsetted="1" w:fontKey="{CC137638-55EB-426F-BCA5-28D49D2003B7}"/>
  </w:font>
  <w:font w:name="仿宋_GB2312">
    <w:altName w:val="仿宋"/>
    <w:charset w:val="86"/>
    <w:family w:val="modern"/>
    <w:pitch w:val="default"/>
    <w:sig w:usb0="00000001" w:usb1="080E0000" w:usb2="00000000" w:usb3="00000000" w:csb0="00040000" w:csb1="00000000"/>
    <w:embedRegular r:id="rId9" w:subsetted="1" w:fontKey="{6CD559E0-889B-45D7-A424-FAA0BADF5603}"/>
    <w:embedBold r:id="rId10" w:subsetted="1" w:fontKey="{0712073F-AF52-4F04-9994-DF5F57F12AF6}"/>
  </w:font>
  <w:font w:name="楷体">
    <w:panose1 w:val="02010609060101010101"/>
    <w:charset w:val="86"/>
    <w:family w:val="modern"/>
    <w:pitch w:val="fixed"/>
    <w:sig w:usb0="800002BF" w:usb1="38CF7CFA" w:usb2="00000016" w:usb3="00000000" w:csb0="00040001" w:csb1="00000000"/>
    <w:embedRegular r:id="rId11" w:subsetted="1" w:fontKey="{594200D1-BEA1-45B4-A806-91FBB2C48019}"/>
  </w:font>
  <w:font w:name="MS Mincho">
    <w:altName w:val="ＭＳ 明朝"/>
    <w:panose1 w:val="02020609040205080304"/>
    <w:charset w:val="80"/>
    <w:family w:val="modern"/>
    <w:pitch w:val="fixed"/>
    <w:sig w:usb0="E00002FF" w:usb1="6AC7FDFB" w:usb2="00000012" w:usb3="00000000" w:csb0="0002009F" w:csb1="00000000"/>
    <w:embedRegular r:id="rId12" w:subsetted="1" w:fontKey="{0BD83D63-0FAA-4EA5-B104-A7D660DFC70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2A" w:rsidRDefault="00242A2A">
    <w:pPr>
      <w:pStyle w:val="a4"/>
      <w:jc w:val="center"/>
      <w:rPr>
        <w:rFonts w:ascii="Times New Roman" w:hAnsi="Times New Roman" w:cs="Times New Roman"/>
        <w:sz w:val="21"/>
        <w:szCs w:val="21"/>
      </w:rPr>
    </w:pPr>
  </w:p>
  <w:p w:rsidR="00242A2A" w:rsidRDefault="00242A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2A" w:rsidRDefault="00242A2A">
    <w:pPr>
      <w:pStyle w:val="a4"/>
      <w:jc w:val="center"/>
      <w:rPr>
        <w:rFonts w:ascii="Times New Roman" w:hAnsi="Times New Roman" w:cs="Times New Roman"/>
        <w:sz w:val="21"/>
        <w:szCs w:val="21"/>
      </w:rPr>
    </w:pPr>
  </w:p>
  <w:p w:rsidR="00242A2A" w:rsidRDefault="00242A2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834464"/>
    </w:sdtPr>
    <w:sdtEndPr>
      <w:rPr>
        <w:rFonts w:ascii="Times New Roman" w:hAnsi="Times New Roman" w:cs="Times New Roman"/>
        <w:sz w:val="21"/>
        <w:szCs w:val="21"/>
      </w:rPr>
    </w:sdtEndPr>
    <w:sdtContent>
      <w:p w:rsidR="00242A2A" w:rsidRDefault="00242A2A">
        <w:pPr>
          <w:pStyle w:val="a4"/>
          <w:jc w:val="center"/>
          <w:rPr>
            <w:rFonts w:ascii="Times New Roman" w:hAnsi="Times New Roman" w:cs="Times New Roman"/>
            <w:sz w:val="21"/>
            <w:szCs w:val="21"/>
          </w:rPr>
        </w:pPr>
        <w:r>
          <w:rPr>
            <w:rFonts w:hint="eastAsia"/>
          </w:rPr>
          <w:t>·</w:t>
        </w: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61574B" w:rsidRPr="0061574B">
          <w:rPr>
            <w:rFonts w:ascii="Times New Roman" w:hAnsi="Times New Roman" w:cs="Times New Roman"/>
            <w:noProof/>
            <w:sz w:val="21"/>
            <w:szCs w:val="21"/>
            <w:lang w:val="zh-CN"/>
          </w:rPr>
          <w:t>10</w:t>
        </w:r>
        <w:r>
          <w:rPr>
            <w:rFonts w:ascii="Times New Roman" w:hAnsi="Times New Roman" w:cs="Times New Roman"/>
            <w:sz w:val="21"/>
            <w:szCs w:val="21"/>
          </w:rPr>
          <w:fldChar w:fldCharType="end"/>
        </w:r>
        <w:r>
          <w:rPr>
            <w:rFonts w:hint="eastAsia"/>
          </w:rPr>
          <w:t>·</w:t>
        </w:r>
      </w:p>
    </w:sdtContent>
  </w:sdt>
  <w:p w:rsidR="00242A2A" w:rsidRDefault="00242A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79C" w:rsidRDefault="00FC679C">
      <w:r>
        <w:separator/>
      </w:r>
    </w:p>
  </w:footnote>
  <w:footnote w:type="continuationSeparator" w:id="0">
    <w:p w:rsidR="00FC679C" w:rsidRDefault="00FC679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长江">
    <w15:presenceInfo w15:providerId="None" w15:userId="赵长江"/>
  </w15:person>
  <w15:person w15:author="123">
    <w15:presenceInfo w15:providerId="None" w15:userId="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TrueTypeFonts/>
  <w:saveSubsetFonts/>
  <w:bordersDoNotSurroundHeader/>
  <w:bordersDoNotSurroundFooter/>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14CE6"/>
    <w:rsid w:val="00000F00"/>
    <w:rsid w:val="00005018"/>
    <w:rsid w:val="000064EB"/>
    <w:rsid w:val="00006859"/>
    <w:rsid w:val="00020ED2"/>
    <w:rsid w:val="00023C4C"/>
    <w:rsid w:val="000355CE"/>
    <w:rsid w:val="00037487"/>
    <w:rsid w:val="00041077"/>
    <w:rsid w:val="00041E73"/>
    <w:rsid w:val="00051F06"/>
    <w:rsid w:val="00053A1E"/>
    <w:rsid w:val="000541EE"/>
    <w:rsid w:val="000577F3"/>
    <w:rsid w:val="00061421"/>
    <w:rsid w:val="00074F64"/>
    <w:rsid w:val="00077BFA"/>
    <w:rsid w:val="00085685"/>
    <w:rsid w:val="00090494"/>
    <w:rsid w:val="00091A6C"/>
    <w:rsid w:val="000927A6"/>
    <w:rsid w:val="000A016C"/>
    <w:rsid w:val="000A58AB"/>
    <w:rsid w:val="000B2518"/>
    <w:rsid w:val="000B392A"/>
    <w:rsid w:val="000C5B93"/>
    <w:rsid w:val="000C5C8E"/>
    <w:rsid w:val="000C671F"/>
    <w:rsid w:val="000D36BF"/>
    <w:rsid w:val="000F0325"/>
    <w:rsid w:val="000F482E"/>
    <w:rsid w:val="000F4E10"/>
    <w:rsid w:val="000F60CA"/>
    <w:rsid w:val="00101036"/>
    <w:rsid w:val="0011179B"/>
    <w:rsid w:val="0011476B"/>
    <w:rsid w:val="0011526F"/>
    <w:rsid w:val="00117241"/>
    <w:rsid w:val="00130438"/>
    <w:rsid w:val="001305B0"/>
    <w:rsid w:val="00132236"/>
    <w:rsid w:val="00136599"/>
    <w:rsid w:val="0014566F"/>
    <w:rsid w:val="00151F4E"/>
    <w:rsid w:val="00152077"/>
    <w:rsid w:val="00154B98"/>
    <w:rsid w:val="00156EB8"/>
    <w:rsid w:val="00191836"/>
    <w:rsid w:val="00192608"/>
    <w:rsid w:val="00195091"/>
    <w:rsid w:val="001A1135"/>
    <w:rsid w:val="001A6EB8"/>
    <w:rsid w:val="001B20EF"/>
    <w:rsid w:val="001B76A4"/>
    <w:rsid w:val="001C21D8"/>
    <w:rsid w:val="001C358B"/>
    <w:rsid w:val="001D115A"/>
    <w:rsid w:val="001D16AE"/>
    <w:rsid w:val="001D3065"/>
    <w:rsid w:val="001E10FE"/>
    <w:rsid w:val="001E1633"/>
    <w:rsid w:val="001E1C8A"/>
    <w:rsid w:val="001E30B3"/>
    <w:rsid w:val="001E64F9"/>
    <w:rsid w:val="001E7BE5"/>
    <w:rsid w:val="001F01A3"/>
    <w:rsid w:val="001F0FE5"/>
    <w:rsid w:val="001F39A4"/>
    <w:rsid w:val="00204905"/>
    <w:rsid w:val="00214062"/>
    <w:rsid w:val="00217B43"/>
    <w:rsid w:val="0022181C"/>
    <w:rsid w:val="002257BE"/>
    <w:rsid w:val="002318F0"/>
    <w:rsid w:val="002404B4"/>
    <w:rsid w:val="00242A2A"/>
    <w:rsid w:val="0024359B"/>
    <w:rsid w:val="002463BC"/>
    <w:rsid w:val="00250BC3"/>
    <w:rsid w:val="00251B25"/>
    <w:rsid w:val="00251F0B"/>
    <w:rsid w:val="00253B45"/>
    <w:rsid w:val="00261B86"/>
    <w:rsid w:val="00264D1E"/>
    <w:rsid w:val="00267C65"/>
    <w:rsid w:val="002713CC"/>
    <w:rsid w:val="002879D9"/>
    <w:rsid w:val="002A0203"/>
    <w:rsid w:val="002A33E6"/>
    <w:rsid w:val="002A376D"/>
    <w:rsid w:val="002A5E9D"/>
    <w:rsid w:val="002A64F5"/>
    <w:rsid w:val="002B1FDC"/>
    <w:rsid w:val="002B7095"/>
    <w:rsid w:val="002B7BE3"/>
    <w:rsid w:val="002C0DFA"/>
    <w:rsid w:val="002C377B"/>
    <w:rsid w:val="002C414F"/>
    <w:rsid w:val="002C52A6"/>
    <w:rsid w:val="002C5769"/>
    <w:rsid w:val="002D6346"/>
    <w:rsid w:val="002F0AD7"/>
    <w:rsid w:val="00311365"/>
    <w:rsid w:val="00314270"/>
    <w:rsid w:val="00314337"/>
    <w:rsid w:val="003146C7"/>
    <w:rsid w:val="003210A7"/>
    <w:rsid w:val="00321D85"/>
    <w:rsid w:val="00321EBA"/>
    <w:rsid w:val="00330F9C"/>
    <w:rsid w:val="00332B8D"/>
    <w:rsid w:val="00341362"/>
    <w:rsid w:val="00344367"/>
    <w:rsid w:val="00344F5D"/>
    <w:rsid w:val="00350CD6"/>
    <w:rsid w:val="00362617"/>
    <w:rsid w:val="00363EC1"/>
    <w:rsid w:val="00365A46"/>
    <w:rsid w:val="0036627A"/>
    <w:rsid w:val="00370DE7"/>
    <w:rsid w:val="003712A8"/>
    <w:rsid w:val="0037263A"/>
    <w:rsid w:val="003751E4"/>
    <w:rsid w:val="00375B0A"/>
    <w:rsid w:val="0038116F"/>
    <w:rsid w:val="00384D24"/>
    <w:rsid w:val="00387698"/>
    <w:rsid w:val="003903D2"/>
    <w:rsid w:val="00390F3B"/>
    <w:rsid w:val="00392C47"/>
    <w:rsid w:val="00397D45"/>
    <w:rsid w:val="003B4105"/>
    <w:rsid w:val="003B6E44"/>
    <w:rsid w:val="003C1644"/>
    <w:rsid w:val="003C281F"/>
    <w:rsid w:val="003D21C1"/>
    <w:rsid w:val="003E5293"/>
    <w:rsid w:val="003F5ACA"/>
    <w:rsid w:val="004009B9"/>
    <w:rsid w:val="00401A56"/>
    <w:rsid w:val="004125CE"/>
    <w:rsid w:val="004316A5"/>
    <w:rsid w:val="00434073"/>
    <w:rsid w:val="004403B6"/>
    <w:rsid w:val="00443470"/>
    <w:rsid w:val="00451AE4"/>
    <w:rsid w:val="00457E85"/>
    <w:rsid w:val="0046370E"/>
    <w:rsid w:val="004637A3"/>
    <w:rsid w:val="00473E75"/>
    <w:rsid w:val="00476267"/>
    <w:rsid w:val="00481981"/>
    <w:rsid w:val="00482632"/>
    <w:rsid w:val="00485DC8"/>
    <w:rsid w:val="004873F1"/>
    <w:rsid w:val="00490134"/>
    <w:rsid w:val="0049185F"/>
    <w:rsid w:val="00492138"/>
    <w:rsid w:val="00497344"/>
    <w:rsid w:val="004A1518"/>
    <w:rsid w:val="004A38E2"/>
    <w:rsid w:val="004B2FFB"/>
    <w:rsid w:val="004B30F7"/>
    <w:rsid w:val="004B3BCD"/>
    <w:rsid w:val="004B5598"/>
    <w:rsid w:val="004C0028"/>
    <w:rsid w:val="004D1AE2"/>
    <w:rsid w:val="004D48D1"/>
    <w:rsid w:val="004D54E0"/>
    <w:rsid w:val="004D778F"/>
    <w:rsid w:val="004E4B4E"/>
    <w:rsid w:val="004E50FF"/>
    <w:rsid w:val="004E7095"/>
    <w:rsid w:val="004F0876"/>
    <w:rsid w:val="004F0CE0"/>
    <w:rsid w:val="00500510"/>
    <w:rsid w:val="00510792"/>
    <w:rsid w:val="00512CFF"/>
    <w:rsid w:val="00514021"/>
    <w:rsid w:val="00517E63"/>
    <w:rsid w:val="0052202B"/>
    <w:rsid w:val="00522BC0"/>
    <w:rsid w:val="005335D8"/>
    <w:rsid w:val="00534C7C"/>
    <w:rsid w:val="00541447"/>
    <w:rsid w:val="005420DD"/>
    <w:rsid w:val="005439DB"/>
    <w:rsid w:val="00545272"/>
    <w:rsid w:val="005465B5"/>
    <w:rsid w:val="0054789E"/>
    <w:rsid w:val="00574F49"/>
    <w:rsid w:val="005776E6"/>
    <w:rsid w:val="00581120"/>
    <w:rsid w:val="005A06C9"/>
    <w:rsid w:val="005C4265"/>
    <w:rsid w:val="005C67DE"/>
    <w:rsid w:val="005D13A5"/>
    <w:rsid w:val="005D48B4"/>
    <w:rsid w:val="005D50A1"/>
    <w:rsid w:val="005D7F5E"/>
    <w:rsid w:val="005F41FD"/>
    <w:rsid w:val="005F719A"/>
    <w:rsid w:val="0061163A"/>
    <w:rsid w:val="0061265C"/>
    <w:rsid w:val="0061574B"/>
    <w:rsid w:val="00631830"/>
    <w:rsid w:val="00632E20"/>
    <w:rsid w:val="00634F84"/>
    <w:rsid w:val="0064346B"/>
    <w:rsid w:val="006459DE"/>
    <w:rsid w:val="00646A22"/>
    <w:rsid w:val="00653E2C"/>
    <w:rsid w:val="00655E81"/>
    <w:rsid w:val="00664DBA"/>
    <w:rsid w:val="00675BE8"/>
    <w:rsid w:val="00675C60"/>
    <w:rsid w:val="00680DD9"/>
    <w:rsid w:val="0068334B"/>
    <w:rsid w:val="0068470A"/>
    <w:rsid w:val="0069220D"/>
    <w:rsid w:val="00694C32"/>
    <w:rsid w:val="00697EF2"/>
    <w:rsid w:val="006A13E7"/>
    <w:rsid w:val="006A7929"/>
    <w:rsid w:val="006A7E40"/>
    <w:rsid w:val="006B27C2"/>
    <w:rsid w:val="006B7B15"/>
    <w:rsid w:val="006C4085"/>
    <w:rsid w:val="006C58A1"/>
    <w:rsid w:val="006E1FCB"/>
    <w:rsid w:val="006E4531"/>
    <w:rsid w:val="006F588A"/>
    <w:rsid w:val="00702C97"/>
    <w:rsid w:val="007048CD"/>
    <w:rsid w:val="0070527A"/>
    <w:rsid w:val="007056CC"/>
    <w:rsid w:val="007112CB"/>
    <w:rsid w:val="00712A80"/>
    <w:rsid w:val="00712D4D"/>
    <w:rsid w:val="007151E8"/>
    <w:rsid w:val="00730902"/>
    <w:rsid w:val="0073301D"/>
    <w:rsid w:val="00742FF5"/>
    <w:rsid w:val="00751069"/>
    <w:rsid w:val="00753C19"/>
    <w:rsid w:val="00753CA1"/>
    <w:rsid w:val="00755340"/>
    <w:rsid w:val="007610B1"/>
    <w:rsid w:val="00761ACA"/>
    <w:rsid w:val="00766BEF"/>
    <w:rsid w:val="00770C2D"/>
    <w:rsid w:val="0077716C"/>
    <w:rsid w:val="00782FF0"/>
    <w:rsid w:val="00785047"/>
    <w:rsid w:val="00790B80"/>
    <w:rsid w:val="007A6F94"/>
    <w:rsid w:val="007B02DB"/>
    <w:rsid w:val="007B17DF"/>
    <w:rsid w:val="007B2AC6"/>
    <w:rsid w:val="007B401D"/>
    <w:rsid w:val="007B681C"/>
    <w:rsid w:val="007C0886"/>
    <w:rsid w:val="007D18E4"/>
    <w:rsid w:val="007D3B30"/>
    <w:rsid w:val="007D75A3"/>
    <w:rsid w:val="007E0E2C"/>
    <w:rsid w:val="007F25FC"/>
    <w:rsid w:val="007F6AEA"/>
    <w:rsid w:val="00802DD5"/>
    <w:rsid w:val="00826B77"/>
    <w:rsid w:val="00827830"/>
    <w:rsid w:val="008371BA"/>
    <w:rsid w:val="0084029D"/>
    <w:rsid w:val="0085416D"/>
    <w:rsid w:val="00861CAC"/>
    <w:rsid w:val="00862B8F"/>
    <w:rsid w:val="008768D4"/>
    <w:rsid w:val="008776ED"/>
    <w:rsid w:val="00877BB2"/>
    <w:rsid w:val="008833B2"/>
    <w:rsid w:val="00885C99"/>
    <w:rsid w:val="008976A4"/>
    <w:rsid w:val="008B1087"/>
    <w:rsid w:val="008B2A64"/>
    <w:rsid w:val="008B732D"/>
    <w:rsid w:val="008C0A8F"/>
    <w:rsid w:val="008C66C6"/>
    <w:rsid w:val="008D4903"/>
    <w:rsid w:val="008E5C53"/>
    <w:rsid w:val="008F2CE5"/>
    <w:rsid w:val="008F4EC0"/>
    <w:rsid w:val="009079CC"/>
    <w:rsid w:val="00910D10"/>
    <w:rsid w:val="0091169D"/>
    <w:rsid w:val="00914D13"/>
    <w:rsid w:val="0091606B"/>
    <w:rsid w:val="00917FC7"/>
    <w:rsid w:val="0092779F"/>
    <w:rsid w:val="00930D83"/>
    <w:rsid w:val="009321D8"/>
    <w:rsid w:val="00935791"/>
    <w:rsid w:val="00940698"/>
    <w:rsid w:val="009428E8"/>
    <w:rsid w:val="00956CC9"/>
    <w:rsid w:val="0095797E"/>
    <w:rsid w:val="0096450E"/>
    <w:rsid w:val="0096787F"/>
    <w:rsid w:val="00986BFC"/>
    <w:rsid w:val="00993D6F"/>
    <w:rsid w:val="009A2B57"/>
    <w:rsid w:val="009C0401"/>
    <w:rsid w:val="009C398B"/>
    <w:rsid w:val="009C3C20"/>
    <w:rsid w:val="009D19F7"/>
    <w:rsid w:val="009D295A"/>
    <w:rsid w:val="009D6534"/>
    <w:rsid w:val="009E4C59"/>
    <w:rsid w:val="009F042C"/>
    <w:rsid w:val="009F2309"/>
    <w:rsid w:val="009F5B54"/>
    <w:rsid w:val="009F61EF"/>
    <w:rsid w:val="009F70AB"/>
    <w:rsid w:val="00A00D5C"/>
    <w:rsid w:val="00A06936"/>
    <w:rsid w:val="00A112D9"/>
    <w:rsid w:val="00A12D36"/>
    <w:rsid w:val="00A14EEF"/>
    <w:rsid w:val="00A17C04"/>
    <w:rsid w:val="00A22F0E"/>
    <w:rsid w:val="00A2479D"/>
    <w:rsid w:val="00A4629C"/>
    <w:rsid w:val="00A52B8D"/>
    <w:rsid w:val="00A55FB2"/>
    <w:rsid w:val="00A615B4"/>
    <w:rsid w:val="00A63C9D"/>
    <w:rsid w:val="00A67768"/>
    <w:rsid w:val="00A72B4C"/>
    <w:rsid w:val="00A7668A"/>
    <w:rsid w:val="00A80051"/>
    <w:rsid w:val="00A840D3"/>
    <w:rsid w:val="00A85E0C"/>
    <w:rsid w:val="00A9021E"/>
    <w:rsid w:val="00A9295F"/>
    <w:rsid w:val="00A93A21"/>
    <w:rsid w:val="00A95586"/>
    <w:rsid w:val="00AA0B38"/>
    <w:rsid w:val="00AA6A57"/>
    <w:rsid w:val="00AB4BD2"/>
    <w:rsid w:val="00AB7451"/>
    <w:rsid w:val="00AC704D"/>
    <w:rsid w:val="00AC7173"/>
    <w:rsid w:val="00AE49F6"/>
    <w:rsid w:val="00AF7045"/>
    <w:rsid w:val="00B010BF"/>
    <w:rsid w:val="00B10B4F"/>
    <w:rsid w:val="00B125A8"/>
    <w:rsid w:val="00B12CDC"/>
    <w:rsid w:val="00B202EB"/>
    <w:rsid w:val="00B25E64"/>
    <w:rsid w:val="00B26DAE"/>
    <w:rsid w:val="00B3575B"/>
    <w:rsid w:val="00B4270A"/>
    <w:rsid w:val="00B440B4"/>
    <w:rsid w:val="00B46DC8"/>
    <w:rsid w:val="00B60157"/>
    <w:rsid w:val="00B64CE5"/>
    <w:rsid w:val="00B67237"/>
    <w:rsid w:val="00B678F7"/>
    <w:rsid w:val="00B74A41"/>
    <w:rsid w:val="00B75F01"/>
    <w:rsid w:val="00B77E5D"/>
    <w:rsid w:val="00B84467"/>
    <w:rsid w:val="00B954C5"/>
    <w:rsid w:val="00BA1FEC"/>
    <w:rsid w:val="00BA3279"/>
    <w:rsid w:val="00BB0B5E"/>
    <w:rsid w:val="00BC066C"/>
    <w:rsid w:val="00BD3696"/>
    <w:rsid w:val="00BD4227"/>
    <w:rsid w:val="00BD7EB0"/>
    <w:rsid w:val="00BE67A2"/>
    <w:rsid w:val="00BE727C"/>
    <w:rsid w:val="00BE7449"/>
    <w:rsid w:val="00BF3DB7"/>
    <w:rsid w:val="00BF64BF"/>
    <w:rsid w:val="00C0191F"/>
    <w:rsid w:val="00C04DEF"/>
    <w:rsid w:val="00C06839"/>
    <w:rsid w:val="00C2077F"/>
    <w:rsid w:val="00C20FC0"/>
    <w:rsid w:val="00C24C0B"/>
    <w:rsid w:val="00C2520C"/>
    <w:rsid w:val="00C25CB1"/>
    <w:rsid w:val="00C40EC4"/>
    <w:rsid w:val="00C46041"/>
    <w:rsid w:val="00C47766"/>
    <w:rsid w:val="00C518F0"/>
    <w:rsid w:val="00C56ED4"/>
    <w:rsid w:val="00C62550"/>
    <w:rsid w:val="00C650DE"/>
    <w:rsid w:val="00C714EA"/>
    <w:rsid w:val="00C71A01"/>
    <w:rsid w:val="00C75CEF"/>
    <w:rsid w:val="00C81B8C"/>
    <w:rsid w:val="00C94406"/>
    <w:rsid w:val="00CA6AEE"/>
    <w:rsid w:val="00CB0493"/>
    <w:rsid w:val="00CB1972"/>
    <w:rsid w:val="00CB3453"/>
    <w:rsid w:val="00CC33D6"/>
    <w:rsid w:val="00CC64D1"/>
    <w:rsid w:val="00CC7F8A"/>
    <w:rsid w:val="00CD1010"/>
    <w:rsid w:val="00CD3A6A"/>
    <w:rsid w:val="00CF3D5F"/>
    <w:rsid w:val="00CF7AFA"/>
    <w:rsid w:val="00D00CE4"/>
    <w:rsid w:val="00D03EDE"/>
    <w:rsid w:val="00D17E14"/>
    <w:rsid w:val="00D27EF1"/>
    <w:rsid w:val="00D30115"/>
    <w:rsid w:val="00D33641"/>
    <w:rsid w:val="00D403B6"/>
    <w:rsid w:val="00D441F4"/>
    <w:rsid w:val="00D5332E"/>
    <w:rsid w:val="00D53DA0"/>
    <w:rsid w:val="00D5519F"/>
    <w:rsid w:val="00D564E8"/>
    <w:rsid w:val="00D6593C"/>
    <w:rsid w:val="00D65CB5"/>
    <w:rsid w:val="00D70234"/>
    <w:rsid w:val="00D76E41"/>
    <w:rsid w:val="00D81C7C"/>
    <w:rsid w:val="00D82E1F"/>
    <w:rsid w:val="00D877BA"/>
    <w:rsid w:val="00D87AC2"/>
    <w:rsid w:val="00D90604"/>
    <w:rsid w:val="00DB0982"/>
    <w:rsid w:val="00DB2196"/>
    <w:rsid w:val="00DB5EAD"/>
    <w:rsid w:val="00DC07EE"/>
    <w:rsid w:val="00DC78E0"/>
    <w:rsid w:val="00DD026C"/>
    <w:rsid w:val="00DD5CC3"/>
    <w:rsid w:val="00DE273D"/>
    <w:rsid w:val="00DE5245"/>
    <w:rsid w:val="00E00B40"/>
    <w:rsid w:val="00E04862"/>
    <w:rsid w:val="00E06F64"/>
    <w:rsid w:val="00E17266"/>
    <w:rsid w:val="00E238F7"/>
    <w:rsid w:val="00E244C9"/>
    <w:rsid w:val="00E31634"/>
    <w:rsid w:val="00E3188F"/>
    <w:rsid w:val="00E326EC"/>
    <w:rsid w:val="00E35072"/>
    <w:rsid w:val="00E36E41"/>
    <w:rsid w:val="00E41320"/>
    <w:rsid w:val="00E41FBB"/>
    <w:rsid w:val="00E52D9F"/>
    <w:rsid w:val="00E600AA"/>
    <w:rsid w:val="00E665E3"/>
    <w:rsid w:val="00E818E9"/>
    <w:rsid w:val="00E8227D"/>
    <w:rsid w:val="00E97391"/>
    <w:rsid w:val="00E97E0D"/>
    <w:rsid w:val="00EA601E"/>
    <w:rsid w:val="00EA6C2C"/>
    <w:rsid w:val="00EC04EC"/>
    <w:rsid w:val="00EC56B6"/>
    <w:rsid w:val="00ED6726"/>
    <w:rsid w:val="00ED6899"/>
    <w:rsid w:val="00EE0B99"/>
    <w:rsid w:val="00EF071E"/>
    <w:rsid w:val="00EF0D28"/>
    <w:rsid w:val="00EF23ED"/>
    <w:rsid w:val="00EF346B"/>
    <w:rsid w:val="00F00B5B"/>
    <w:rsid w:val="00F03793"/>
    <w:rsid w:val="00F06B62"/>
    <w:rsid w:val="00F14CE6"/>
    <w:rsid w:val="00F2269F"/>
    <w:rsid w:val="00F351E0"/>
    <w:rsid w:val="00F354E4"/>
    <w:rsid w:val="00F44948"/>
    <w:rsid w:val="00F45E82"/>
    <w:rsid w:val="00F50BE2"/>
    <w:rsid w:val="00F547EE"/>
    <w:rsid w:val="00F623C8"/>
    <w:rsid w:val="00F63028"/>
    <w:rsid w:val="00F65677"/>
    <w:rsid w:val="00F71255"/>
    <w:rsid w:val="00F7320C"/>
    <w:rsid w:val="00F748D6"/>
    <w:rsid w:val="00F94F68"/>
    <w:rsid w:val="00F97F15"/>
    <w:rsid w:val="00FA1F45"/>
    <w:rsid w:val="00FA7C6E"/>
    <w:rsid w:val="00FB1542"/>
    <w:rsid w:val="00FB5B05"/>
    <w:rsid w:val="00FC0235"/>
    <w:rsid w:val="00FC5216"/>
    <w:rsid w:val="00FC679C"/>
    <w:rsid w:val="00FC7200"/>
    <w:rsid w:val="00FD1142"/>
    <w:rsid w:val="00FD5DC5"/>
    <w:rsid w:val="00FD7A29"/>
    <w:rsid w:val="00FD7B6E"/>
    <w:rsid w:val="00FE1066"/>
    <w:rsid w:val="00FE36F0"/>
    <w:rsid w:val="00FE3A08"/>
    <w:rsid w:val="00FE4191"/>
    <w:rsid w:val="00FE58B8"/>
    <w:rsid w:val="00FE6E9B"/>
    <w:rsid w:val="00FE761E"/>
    <w:rsid w:val="00FF5531"/>
    <w:rsid w:val="00FF622F"/>
    <w:rsid w:val="00FF6EB8"/>
    <w:rsid w:val="021879F4"/>
    <w:rsid w:val="02D63C5B"/>
    <w:rsid w:val="031B5CBD"/>
    <w:rsid w:val="04103E97"/>
    <w:rsid w:val="065C71EF"/>
    <w:rsid w:val="06AA7883"/>
    <w:rsid w:val="091D3A9D"/>
    <w:rsid w:val="0C5A4C41"/>
    <w:rsid w:val="14366742"/>
    <w:rsid w:val="14DE0174"/>
    <w:rsid w:val="166F0628"/>
    <w:rsid w:val="177B3149"/>
    <w:rsid w:val="18E36CEC"/>
    <w:rsid w:val="19FC7ECE"/>
    <w:rsid w:val="1BEA1F9E"/>
    <w:rsid w:val="1BF11373"/>
    <w:rsid w:val="1F2B1EB1"/>
    <w:rsid w:val="1F30305F"/>
    <w:rsid w:val="1F835222"/>
    <w:rsid w:val="1FED7CDC"/>
    <w:rsid w:val="24FA1174"/>
    <w:rsid w:val="252B00B7"/>
    <w:rsid w:val="26BE336D"/>
    <w:rsid w:val="29800F88"/>
    <w:rsid w:val="299740D1"/>
    <w:rsid w:val="2AD478D4"/>
    <w:rsid w:val="2EE86356"/>
    <w:rsid w:val="301571FA"/>
    <w:rsid w:val="33642270"/>
    <w:rsid w:val="33A97F7E"/>
    <w:rsid w:val="381453CC"/>
    <w:rsid w:val="39A051A2"/>
    <w:rsid w:val="39CF6B00"/>
    <w:rsid w:val="3AE22C56"/>
    <w:rsid w:val="3C840B69"/>
    <w:rsid w:val="3EBF1F3F"/>
    <w:rsid w:val="41193FBD"/>
    <w:rsid w:val="41515FA3"/>
    <w:rsid w:val="419E2AAD"/>
    <w:rsid w:val="42B02A3C"/>
    <w:rsid w:val="441D6E6D"/>
    <w:rsid w:val="443611F0"/>
    <w:rsid w:val="44673989"/>
    <w:rsid w:val="45FD2497"/>
    <w:rsid w:val="4985029A"/>
    <w:rsid w:val="4ADB3D05"/>
    <w:rsid w:val="4B397F8C"/>
    <w:rsid w:val="4C194E78"/>
    <w:rsid w:val="4C8E1233"/>
    <w:rsid w:val="4D8725F9"/>
    <w:rsid w:val="4F2E319E"/>
    <w:rsid w:val="507535B5"/>
    <w:rsid w:val="526E1C7C"/>
    <w:rsid w:val="52B818DF"/>
    <w:rsid w:val="53486FD0"/>
    <w:rsid w:val="54133510"/>
    <w:rsid w:val="57D13716"/>
    <w:rsid w:val="580D2940"/>
    <w:rsid w:val="59D91C8F"/>
    <w:rsid w:val="5A483D84"/>
    <w:rsid w:val="5AF95341"/>
    <w:rsid w:val="5E6F0725"/>
    <w:rsid w:val="5E740696"/>
    <w:rsid w:val="605B69F2"/>
    <w:rsid w:val="61B674EE"/>
    <w:rsid w:val="68FE01B3"/>
    <w:rsid w:val="69C20F0A"/>
    <w:rsid w:val="6B0B5187"/>
    <w:rsid w:val="6BB25756"/>
    <w:rsid w:val="6C044906"/>
    <w:rsid w:val="6E55341F"/>
    <w:rsid w:val="70993F79"/>
    <w:rsid w:val="73445D38"/>
    <w:rsid w:val="739D07CE"/>
    <w:rsid w:val="756034BE"/>
    <w:rsid w:val="75E37945"/>
    <w:rsid w:val="75E90EC9"/>
    <w:rsid w:val="760D6B79"/>
    <w:rsid w:val="7BAE73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Lines="50" w:afterLines="50" w:line="560" w:lineRule="exact"/>
      <w:jc w:val="center"/>
      <w:outlineLvl w:val="0"/>
    </w:pPr>
    <w:rPr>
      <w:rFonts w:eastAsia="方正大黑简体"/>
      <w:bCs/>
      <w:kern w:val="44"/>
      <w:sz w:val="32"/>
      <w:szCs w:val="44"/>
    </w:rPr>
  </w:style>
  <w:style w:type="paragraph" w:styleId="2">
    <w:name w:val="heading 2"/>
    <w:basedOn w:val="a"/>
    <w:next w:val="a"/>
    <w:link w:val="2Char"/>
    <w:unhideWhenUsed/>
    <w:qFormat/>
    <w:pPr>
      <w:keepNext/>
      <w:keepLines/>
      <w:spacing w:beforeLines="20" w:afterLines="20" w:line="560" w:lineRule="exact"/>
      <w:ind w:firstLineChars="200" w:firstLine="600"/>
      <w:jc w:val="left"/>
      <w:outlineLvl w:val="1"/>
    </w:pPr>
    <w:rPr>
      <w:rFonts w:ascii="Times New Roman" w:eastAsia="黑体" w:hAnsi="Times New Roman" w:cs="Times New Roman"/>
      <w:bCs/>
      <w:sz w:val="30"/>
      <w:szCs w:val="32"/>
    </w:rPr>
  </w:style>
  <w:style w:type="paragraph" w:styleId="3">
    <w:name w:val="heading 3"/>
    <w:basedOn w:val="a"/>
    <w:next w:val="a"/>
    <w:link w:val="3Char"/>
    <w:uiPriority w:val="9"/>
    <w:unhideWhenUsed/>
    <w:qFormat/>
    <w:pPr>
      <w:keepNext/>
      <w:keepLines/>
      <w:spacing w:beforeLines="20" w:afterLines="20" w:line="560" w:lineRule="exact"/>
      <w:jc w:val="center"/>
      <w:outlineLvl w:val="2"/>
    </w:pPr>
    <w:rPr>
      <w:rFonts w:asciiTheme="majorEastAsia" w:eastAsiaTheme="majorEastAsia" w:hAnsiTheme="majorEastAsia"/>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qFormat/>
    <w:pPr>
      <w:spacing w:before="100" w:beforeAutospacing="1" w:after="100" w:afterAutospacing="1"/>
    </w:pPr>
    <w:rPr>
      <w:rFonts w:ascii="宋体" w:eastAsia="宋体" w:hAnsi="Calibri" w:cs="宋体"/>
      <w:sz w:val="24"/>
      <w:szCs w:val="24"/>
    </w:rPr>
  </w:style>
  <w:style w:type="character" w:styleId="a7">
    <w:name w:val="Hyperlink"/>
    <w:basedOn w:val="a0"/>
    <w:uiPriority w:val="99"/>
    <w:unhideWhenUsed/>
    <w:qFormat/>
    <w:rPr>
      <w:color w:val="0000FF" w:themeColor="hyperlink"/>
      <w:u w:val="single"/>
    </w:rPr>
  </w:style>
  <w:style w:type="paragraph" w:customStyle="1" w:styleId="11">
    <w:name w:val="列出段落1"/>
    <w:basedOn w:val="a"/>
    <w:uiPriority w:val="34"/>
    <w:qFormat/>
    <w:pPr>
      <w:ind w:firstLineChars="200" w:firstLine="420"/>
    </w:pPr>
  </w:style>
  <w:style w:type="character" w:customStyle="1" w:styleId="2Char">
    <w:name w:val="标题 2 Char"/>
    <w:basedOn w:val="a0"/>
    <w:link w:val="2"/>
    <w:qFormat/>
    <w:rPr>
      <w:rFonts w:ascii="Times New Roman" w:eastAsia="黑体" w:hAnsi="Times New Roman" w:cs="Times New Roman"/>
      <w:bCs/>
      <w:sz w:val="30"/>
      <w:szCs w:val="32"/>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uiPriority w:val="9"/>
    <w:qFormat/>
    <w:rPr>
      <w:rFonts w:eastAsia="方正大黑简体"/>
      <w:bCs/>
      <w:kern w:val="44"/>
      <w:sz w:val="32"/>
      <w:szCs w:val="44"/>
    </w:rPr>
  </w:style>
  <w:style w:type="character" w:customStyle="1" w:styleId="3Char">
    <w:name w:val="标题 3 Char"/>
    <w:basedOn w:val="a0"/>
    <w:link w:val="3"/>
    <w:uiPriority w:val="9"/>
    <w:qFormat/>
    <w:rPr>
      <w:rFonts w:asciiTheme="majorEastAsia" w:eastAsiaTheme="majorEastAsia" w:hAnsiTheme="majorEastAsia"/>
      <w:b/>
      <w:bCs/>
      <w:sz w:val="24"/>
      <w:szCs w:val="32"/>
    </w:rPr>
  </w:style>
  <w:style w:type="character" w:customStyle="1" w:styleId="apple-converted-space">
    <w:name w:val="apple-converted-spac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5385680956501"/>
          <c:y val="6.6898710781218895E-2"/>
          <c:w val="0.85694243948673099"/>
          <c:h val="0.68604954708870802"/>
        </c:manualLayout>
      </c:layout>
      <c:barChart>
        <c:barDir val="col"/>
        <c:grouping val="clustered"/>
        <c:varyColors val="0"/>
        <c:ser>
          <c:idx val="0"/>
          <c:order val="0"/>
          <c:tx>
            <c:strRef>
              <c:f>Sheet1!$B$1</c:f>
              <c:strCache>
                <c:ptCount val="1"/>
                <c:pt idx="0">
                  <c:v>比例</c:v>
                </c:pt>
              </c:strCache>
            </c:strRef>
          </c:tx>
          <c:invertIfNegative val="0"/>
          <c:cat>
            <c:strRef>
              <c:f>Sheet1!$A$2:$A$13</c:f>
              <c:strCache>
                <c:ptCount val="12"/>
                <c:pt idx="0">
                  <c:v>专业</c:v>
                </c:pt>
                <c:pt idx="1">
                  <c:v>课程</c:v>
                </c:pt>
                <c:pt idx="2">
                  <c:v>教学</c:v>
                </c:pt>
                <c:pt idx="3">
                  <c:v>校园环境</c:v>
                </c:pt>
                <c:pt idx="4">
                  <c:v>领导重视教学</c:v>
                </c:pt>
                <c:pt idx="5">
                  <c:v>奖助评贷</c:v>
                </c:pt>
                <c:pt idx="6">
                  <c:v>校园文化</c:v>
                </c:pt>
                <c:pt idx="7">
                  <c:v>就业服务</c:v>
                </c:pt>
                <c:pt idx="8">
                  <c:v>身心健康</c:v>
                </c:pt>
                <c:pt idx="9">
                  <c:v>后勤服务</c:v>
                </c:pt>
                <c:pt idx="10">
                  <c:v>思想政治教育</c:v>
                </c:pt>
                <c:pt idx="11">
                  <c:v>通识教育</c:v>
                </c:pt>
              </c:strCache>
            </c:strRef>
          </c:cat>
          <c:val>
            <c:numRef>
              <c:f>Sheet1!$B$2:$B$13</c:f>
              <c:numCache>
                <c:formatCode>0.00%</c:formatCode>
                <c:ptCount val="12"/>
                <c:pt idx="0">
                  <c:v>0.75600000000000001</c:v>
                </c:pt>
                <c:pt idx="1">
                  <c:v>0.77110000000000001</c:v>
                </c:pt>
                <c:pt idx="2">
                  <c:v>0.82530000000000003</c:v>
                </c:pt>
                <c:pt idx="3">
                  <c:v>0.95399999999999996</c:v>
                </c:pt>
                <c:pt idx="4">
                  <c:v>0.86629999999999996</c:v>
                </c:pt>
                <c:pt idx="5">
                  <c:v>0.88649999999999995</c:v>
                </c:pt>
                <c:pt idx="6">
                  <c:v>0.87580000000000002</c:v>
                </c:pt>
                <c:pt idx="7">
                  <c:v>0.86760000000000004</c:v>
                </c:pt>
                <c:pt idx="8">
                  <c:v>0.8569</c:v>
                </c:pt>
                <c:pt idx="9">
                  <c:v>0.86950000000000005</c:v>
                </c:pt>
                <c:pt idx="10">
                  <c:v>0.86319999999999997</c:v>
                </c:pt>
                <c:pt idx="11">
                  <c:v>0.86129999999999995</c:v>
                </c:pt>
              </c:numCache>
            </c:numRef>
          </c:val>
        </c:ser>
        <c:dLbls>
          <c:showLegendKey val="0"/>
          <c:showVal val="0"/>
          <c:showCatName val="0"/>
          <c:showSerName val="0"/>
          <c:showPercent val="0"/>
          <c:showBubbleSize val="0"/>
        </c:dLbls>
        <c:gapWidth val="150"/>
        <c:axId val="241070080"/>
        <c:axId val="317431808"/>
      </c:barChart>
      <c:catAx>
        <c:axId val="2410700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17431808"/>
        <c:crosses val="autoZero"/>
        <c:auto val="1"/>
        <c:lblAlgn val="ctr"/>
        <c:lblOffset val="100"/>
        <c:noMultiLvlLbl val="0"/>
      </c:catAx>
      <c:valAx>
        <c:axId val="317431808"/>
        <c:scaling>
          <c:orientation val="minMax"/>
          <c:max val="1"/>
        </c:scaling>
        <c:delete val="0"/>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4107008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8"/>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F72FA3-6B9B-4B7E-9852-D99AA079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39</Pages>
  <Words>3224</Words>
  <Characters>18378</Characters>
  <Application>Microsoft Office Word</Application>
  <DocSecurity>0</DocSecurity>
  <Lines>153</Lines>
  <Paragraphs>43</Paragraphs>
  <ScaleCrop>false</ScaleCrop>
  <Company>Microsoft</Company>
  <LinksUpToDate>false</LinksUpToDate>
  <CharactersWithSpaces>21559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赵长江</dc:creator>
  <cp:lastModifiedBy>PC001</cp:lastModifiedBy>
  <cp:revision>63</cp:revision>
  <cp:lastPrinted>2018-01-02T03:27:00Z</cp:lastPrinted>
  <dcterms:created xsi:type="dcterms:W3CDTF">2017-10-13T12:58:00Z</dcterms:created>
  <dcterms:modified xsi:type="dcterms:W3CDTF">2018-01-02T03:27:00Z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